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86FE9" w14:textId="2350C53E" w:rsidR="00473859" w:rsidRPr="009D430E" w:rsidRDefault="00C2580B" w:rsidP="009B7B48">
      <w:pPr>
        <w:spacing w:before="60" w:after="60"/>
        <w:ind w:firstLine="720"/>
        <w:outlineLvl w:val="0"/>
        <w:rPr>
          <w:rFonts w:ascii="Arial" w:hAnsi="Arial" w:cs="Arial"/>
        </w:rPr>
      </w:pPr>
      <w:r>
        <w:rPr>
          <w:rFonts w:ascii="Arial" w:hAnsi="Arial" w:cs="Arial"/>
        </w:rPr>
        <w:t>4 May 2018</w:t>
      </w:r>
    </w:p>
    <w:p w14:paraId="20C9E4D6" w14:textId="76647B77" w:rsidR="00473859" w:rsidRPr="009D430E" w:rsidRDefault="00473859" w:rsidP="009D430E">
      <w:pPr>
        <w:spacing w:before="60" w:after="60"/>
        <w:jc w:val="center"/>
        <w:outlineLvl w:val="0"/>
        <w:rPr>
          <w:rFonts w:ascii="Arial" w:hAnsi="Arial" w:cs="Arial"/>
          <w:b/>
        </w:rPr>
      </w:pPr>
      <w:r w:rsidRPr="009D430E">
        <w:rPr>
          <w:rFonts w:ascii="Arial" w:hAnsi="Arial" w:cs="Arial"/>
          <w:b/>
        </w:rPr>
        <w:t>InterContinental Hotels Group PLC</w:t>
      </w:r>
    </w:p>
    <w:p w14:paraId="371181F1" w14:textId="7F1597D6" w:rsidR="001A145E" w:rsidRPr="009D430E" w:rsidRDefault="00552A47" w:rsidP="001A145E">
      <w:pPr>
        <w:spacing w:before="60" w:after="60"/>
        <w:jc w:val="center"/>
        <w:outlineLvl w:val="0"/>
        <w:rPr>
          <w:rFonts w:ascii="Arial" w:hAnsi="Arial" w:cs="Arial"/>
        </w:rPr>
      </w:pPr>
      <w:r>
        <w:rPr>
          <w:rFonts w:ascii="Arial" w:hAnsi="Arial" w:cs="Arial"/>
        </w:rPr>
        <w:t xml:space="preserve">2018 </w:t>
      </w:r>
      <w:r w:rsidR="001A145E">
        <w:rPr>
          <w:rFonts w:ascii="Arial" w:hAnsi="Arial" w:cs="Arial"/>
        </w:rPr>
        <w:t xml:space="preserve">First </w:t>
      </w:r>
      <w:r w:rsidR="001A145E" w:rsidRPr="009D430E">
        <w:rPr>
          <w:rFonts w:ascii="Arial" w:hAnsi="Arial" w:cs="Arial"/>
        </w:rPr>
        <w:t xml:space="preserve">Quarter </w:t>
      </w:r>
      <w:r w:rsidR="001A145E">
        <w:rPr>
          <w:rFonts w:ascii="Arial" w:hAnsi="Arial" w:cs="Arial"/>
        </w:rPr>
        <w:t>Trading Update</w:t>
      </w:r>
    </w:p>
    <w:tbl>
      <w:tblPr>
        <w:tblW w:w="10490" w:type="dxa"/>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142"/>
        <w:gridCol w:w="10348"/>
      </w:tblGrid>
      <w:tr w:rsidR="00473859" w:rsidRPr="009D430E" w14:paraId="018E895E" w14:textId="77777777" w:rsidTr="00324D79">
        <w:trPr>
          <w:gridBefore w:val="1"/>
          <w:wBefore w:w="142" w:type="dxa"/>
          <w:trHeight w:val="70"/>
        </w:trPr>
        <w:tc>
          <w:tcPr>
            <w:tcW w:w="10348" w:type="dxa"/>
          </w:tcPr>
          <w:p w14:paraId="5228C807" w14:textId="17858CB8" w:rsidR="00473859" w:rsidRPr="009D430E" w:rsidRDefault="00473859" w:rsidP="009D430E">
            <w:pPr>
              <w:spacing w:before="60" w:after="60"/>
              <w:rPr>
                <w:rFonts w:ascii="Arial" w:hAnsi="Arial" w:cs="Arial"/>
                <w:b/>
              </w:rPr>
            </w:pPr>
            <w:r w:rsidRPr="009D430E">
              <w:rPr>
                <w:rFonts w:ascii="Arial" w:hAnsi="Arial" w:cs="Arial"/>
                <w:b/>
              </w:rPr>
              <w:t>Highlights</w:t>
            </w:r>
          </w:p>
        </w:tc>
      </w:tr>
      <w:tr w:rsidR="00B07756" w:rsidRPr="009D430E" w14:paraId="33DF6932" w14:textId="77777777" w:rsidTr="00324D79">
        <w:trPr>
          <w:gridBefore w:val="1"/>
          <w:wBefore w:w="142" w:type="dxa"/>
          <w:trHeight w:val="1110"/>
        </w:trPr>
        <w:tc>
          <w:tcPr>
            <w:tcW w:w="10348" w:type="dxa"/>
          </w:tcPr>
          <w:p w14:paraId="54387FF0" w14:textId="5C72F958" w:rsidR="004F542D" w:rsidRDefault="004F542D" w:rsidP="008143A3">
            <w:pPr>
              <w:pStyle w:val="ListParagraph"/>
              <w:numPr>
                <w:ilvl w:val="0"/>
                <w:numId w:val="24"/>
              </w:numPr>
              <w:shd w:val="clear" w:color="auto" w:fill="FFFFFF"/>
              <w:spacing w:before="40" w:after="40"/>
              <w:ind w:left="453" w:hanging="357"/>
              <w:jc w:val="both"/>
              <w:rPr>
                <w:rFonts w:ascii="Arial" w:hAnsi="Arial" w:cs="Arial"/>
                <w:b/>
                <w:bCs/>
                <w:color w:val="222222"/>
                <w:sz w:val="20"/>
                <w:szCs w:val="20"/>
              </w:rPr>
            </w:pPr>
            <w:r w:rsidRPr="004F542D">
              <w:rPr>
                <w:rFonts w:ascii="Arial" w:hAnsi="Arial" w:cs="Arial"/>
                <w:b/>
                <w:bCs/>
                <w:color w:val="222222"/>
                <w:sz w:val="20"/>
                <w:szCs w:val="20"/>
              </w:rPr>
              <w:t>Global Q</w:t>
            </w:r>
            <w:r w:rsidR="00167850">
              <w:rPr>
                <w:rFonts w:ascii="Arial" w:hAnsi="Arial" w:cs="Arial"/>
                <w:b/>
                <w:bCs/>
                <w:color w:val="222222"/>
                <w:sz w:val="20"/>
                <w:szCs w:val="20"/>
              </w:rPr>
              <w:t>1</w:t>
            </w:r>
            <w:r w:rsidRPr="004F542D">
              <w:rPr>
                <w:rFonts w:ascii="Arial" w:hAnsi="Arial" w:cs="Arial"/>
                <w:b/>
                <w:bCs/>
                <w:color w:val="222222"/>
                <w:sz w:val="20"/>
                <w:szCs w:val="20"/>
              </w:rPr>
              <w:t xml:space="preserve"> comparable RevPAR</w:t>
            </w:r>
            <w:r w:rsidR="008312BF">
              <w:rPr>
                <w:rStyle w:val="FootnoteReference"/>
                <w:rFonts w:ascii="Arial" w:hAnsi="Arial"/>
                <w:b/>
                <w:bCs/>
                <w:color w:val="222222"/>
                <w:sz w:val="20"/>
                <w:szCs w:val="20"/>
              </w:rPr>
              <w:footnoteReference w:id="2"/>
            </w:r>
            <w:r w:rsidRPr="004F542D">
              <w:rPr>
                <w:rFonts w:ascii="Arial" w:hAnsi="Arial" w:cs="Arial"/>
                <w:b/>
                <w:bCs/>
                <w:color w:val="222222"/>
                <w:sz w:val="20"/>
                <w:szCs w:val="20"/>
              </w:rPr>
              <w:t xml:space="preserve"> up </w:t>
            </w:r>
            <w:r w:rsidR="00C2580B">
              <w:rPr>
                <w:rFonts w:ascii="Arial" w:hAnsi="Arial" w:cs="Arial"/>
                <w:b/>
                <w:bCs/>
                <w:color w:val="222222"/>
                <w:sz w:val="20"/>
                <w:szCs w:val="20"/>
              </w:rPr>
              <w:t>3.5</w:t>
            </w:r>
            <w:r w:rsidRPr="004F542D">
              <w:rPr>
                <w:rFonts w:ascii="Arial" w:hAnsi="Arial" w:cs="Arial"/>
                <w:b/>
                <w:bCs/>
                <w:color w:val="222222"/>
                <w:sz w:val="20"/>
                <w:szCs w:val="20"/>
              </w:rPr>
              <w:t>%</w:t>
            </w:r>
          </w:p>
          <w:p w14:paraId="660C4BBF" w14:textId="610B52DF" w:rsidR="00685BB9" w:rsidRDefault="00685BB9" w:rsidP="008143A3">
            <w:pPr>
              <w:pStyle w:val="ListParagraph"/>
              <w:numPr>
                <w:ilvl w:val="0"/>
                <w:numId w:val="24"/>
              </w:numPr>
              <w:shd w:val="clear" w:color="auto" w:fill="FFFFFF"/>
              <w:spacing w:before="40" w:after="40"/>
              <w:ind w:left="453" w:hanging="357"/>
              <w:jc w:val="both"/>
              <w:rPr>
                <w:rFonts w:ascii="Arial" w:hAnsi="Arial" w:cs="Arial"/>
                <w:b/>
                <w:bCs/>
                <w:color w:val="222222"/>
                <w:sz w:val="20"/>
                <w:szCs w:val="20"/>
              </w:rPr>
            </w:pPr>
            <w:r>
              <w:rPr>
                <w:rFonts w:ascii="Arial" w:hAnsi="Arial" w:cs="Arial"/>
                <w:b/>
                <w:bCs/>
                <w:color w:val="222222"/>
                <w:sz w:val="20"/>
                <w:szCs w:val="20"/>
              </w:rPr>
              <w:t>4.</w:t>
            </w:r>
            <w:r w:rsidR="002A6FC6">
              <w:rPr>
                <w:rFonts w:ascii="Arial" w:hAnsi="Arial" w:cs="Arial"/>
                <w:b/>
                <w:bCs/>
                <w:color w:val="222222"/>
                <w:sz w:val="20"/>
                <w:szCs w:val="20"/>
              </w:rPr>
              <w:t>3</w:t>
            </w:r>
            <w:r>
              <w:rPr>
                <w:rFonts w:ascii="Arial" w:hAnsi="Arial" w:cs="Arial"/>
                <w:b/>
                <w:bCs/>
                <w:color w:val="222222"/>
                <w:sz w:val="20"/>
                <w:szCs w:val="20"/>
              </w:rPr>
              <w:t>% YOY net system size growth to 80</w:t>
            </w:r>
            <w:r w:rsidR="00726EE0">
              <w:rPr>
                <w:rFonts w:ascii="Arial" w:hAnsi="Arial" w:cs="Arial"/>
                <w:b/>
                <w:bCs/>
                <w:color w:val="222222"/>
                <w:sz w:val="20"/>
                <w:szCs w:val="20"/>
              </w:rPr>
              <w:t>0k rooms, 8k rooms opened (up 16</w:t>
            </w:r>
            <w:r>
              <w:rPr>
                <w:rFonts w:ascii="Arial" w:hAnsi="Arial" w:cs="Arial"/>
                <w:b/>
                <w:bCs/>
                <w:color w:val="222222"/>
                <w:sz w:val="20"/>
                <w:szCs w:val="20"/>
              </w:rPr>
              <w:t>% YOY)</w:t>
            </w:r>
          </w:p>
          <w:p w14:paraId="29D98136" w14:textId="6710FC42" w:rsidR="00732730" w:rsidRDefault="00C2580B" w:rsidP="008143A3">
            <w:pPr>
              <w:pStyle w:val="ListParagraph"/>
              <w:numPr>
                <w:ilvl w:val="0"/>
                <w:numId w:val="24"/>
              </w:numPr>
              <w:shd w:val="clear" w:color="auto" w:fill="FFFFFF"/>
              <w:spacing w:before="40" w:after="40"/>
              <w:ind w:left="453" w:hanging="357"/>
              <w:jc w:val="both"/>
              <w:rPr>
                <w:rFonts w:ascii="Arial" w:hAnsi="Arial" w:cs="Arial"/>
                <w:b/>
                <w:bCs/>
                <w:color w:val="222222"/>
                <w:sz w:val="20"/>
                <w:szCs w:val="20"/>
              </w:rPr>
            </w:pPr>
            <w:r>
              <w:rPr>
                <w:rFonts w:ascii="Arial" w:hAnsi="Arial" w:cs="Arial"/>
                <w:b/>
                <w:bCs/>
                <w:color w:val="222222"/>
                <w:sz w:val="20"/>
                <w:szCs w:val="20"/>
              </w:rPr>
              <w:t>20</w:t>
            </w:r>
            <w:r w:rsidR="004F542D" w:rsidRPr="004F542D">
              <w:rPr>
                <w:rFonts w:ascii="Arial" w:hAnsi="Arial" w:cs="Arial"/>
                <w:b/>
                <w:bCs/>
                <w:color w:val="222222"/>
                <w:sz w:val="20"/>
                <w:szCs w:val="20"/>
              </w:rPr>
              <w:t>k rooms signed</w:t>
            </w:r>
            <w:r w:rsidR="00685BB9">
              <w:rPr>
                <w:rFonts w:ascii="Arial" w:hAnsi="Arial" w:cs="Arial"/>
                <w:b/>
                <w:bCs/>
                <w:color w:val="222222"/>
                <w:sz w:val="20"/>
                <w:szCs w:val="20"/>
              </w:rPr>
              <w:t>, strongest Q1 pace for 11 years, led by avid hotels</w:t>
            </w:r>
          </w:p>
          <w:p w14:paraId="63D3CD4E" w14:textId="11AA6ACA" w:rsidR="007F60CD" w:rsidRDefault="007F60CD" w:rsidP="008143A3">
            <w:pPr>
              <w:pStyle w:val="ListParagraph"/>
              <w:numPr>
                <w:ilvl w:val="0"/>
                <w:numId w:val="24"/>
              </w:numPr>
              <w:shd w:val="clear" w:color="auto" w:fill="FFFFFF"/>
              <w:spacing w:before="40" w:after="40"/>
              <w:ind w:left="453" w:hanging="357"/>
              <w:jc w:val="both"/>
              <w:rPr>
                <w:rFonts w:ascii="Arial" w:hAnsi="Arial" w:cs="Arial"/>
                <w:b/>
                <w:bCs/>
                <w:color w:val="222222"/>
                <w:sz w:val="20"/>
                <w:szCs w:val="20"/>
              </w:rPr>
            </w:pPr>
            <w:r>
              <w:rPr>
                <w:rFonts w:ascii="Arial" w:hAnsi="Arial" w:cs="Arial"/>
                <w:b/>
                <w:bCs/>
                <w:color w:val="222222"/>
                <w:sz w:val="20"/>
                <w:szCs w:val="20"/>
              </w:rPr>
              <w:t xml:space="preserve">Good </w:t>
            </w:r>
            <w:r w:rsidR="00C2580B">
              <w:rPr>
                <w:rFonts w:ascii="Arial" w:hAnsi="Arial" w:cs="Arial"/>
                <w:b/>
                <w:bCs/>
                <w:color w:val="222222"/>
                <w:sz w:val="20"/>
                <w:szCs w:val="20"/>
              </w:rPr>
              <w:t>progress against new strategic</w:t>
            </w:r>
            <w:r>
              <w:rPr>
                <w:rFonts w:ascii="Arial" w:hAnsi="Arial" w:cs="Arial"/>
                <w:b/>
                <w:bCs/>
                <w:color w:val="222222"/>
                <w:sz w:val="20"/>
                <w:szCs w:val="20"/>
              </w:rPr>
              <w:t xml:space="preserve"> growth</w:t>
            </w:r>
            <w:r w:rsidR="00C2580B">
              <w:rPr>
                <w:rFonts w:ascii="Arial" w:hAnsi="Arial" w:cs="Arial"/>
                <w:b/>
                <w:bCs/>
                <w:color w:val="222222"/>
                <w:sz w:val="20"/>
                <w:szCs w:val="20"/>
              </w:rPr>
              <w:t xml:space="preserve"> initiatives</w:t>
            </w:r>
            <w:r w:rsidR="005371B5">
              <w:rPr>
                <w:rFonts w:ascii="Arial" w:hAnsi="Arial" w:cs="Arial"/>
                <w:b/>
                <w:bCs/>
                <w:color w:val="222222"/>
                <w:sz w:val="20"/>
                <w:szCs w:val="20"/>
              </w:rPr>
              <w:t>, particularly in expanding our luxury footprint</w:t>
            </w:r>
          </w:p>
          <w:p w14:paraId="52FFA164" w14:textId="1150D7C9" w:rsidR="00685BB9" w:rsidRPr="00252BB4" w:rsidRDefault="007F60CD" w:rsidP="008143A3">
            <w:pPr>
              <w:pStyle w:val="ListParagraph"/>
              <w:numPr>
                <w:ilvl w:val="0"/>
                <w:numId w:val="24"/>
              </w:numPr>
              <w:shd w:val="clear" w:color="auto" w:fill="FFFFFF"/>
              <w:spacing w:before="40" w:after="40"/>
              <w:ind w:left="453" w:hanging="357"/>
              <w:jc w:val="both"/>
            </w:pPr>
            <w:r>
              <w:rPr>
                <w:rFonts w:ascii="Arial" w:hAnsi="Arial" w:cs="Arial"/>
                <w:b/>
                <w:bCs/>
                <w:color w:val="222222"/>
                <w:sz w:val="20"/>
                <w:szCs w:val="20"/>
              </w:rPr>
              <w:t>Ef</w:t>
            </w:r>
            <w:r w:rsidR="005371B5">
              <w:rPr>
                <w:rFonts w:ascii="Arial" w:hAnsi="Arial" w:cs="Arial"/>
                <w:b/>
                <w:bCs/>
                <w:color w:val="222222"/>
                <w:sz w:val="20"/>
                <w:szCs w:val="20"/>
              </w:rPr>
              <w:t xml:space="preserve">ficiency programme underway; </w:t>
            </w:r>
            <w:r>
              <w:rPr>
                <w:rFonts w:ascii="Arial" w:hAnsi="Arial" w:cs="Arial"/>
                <w:b/>
                <w:bCs/>
                <w:color w:val="222222"/>
                <w:sz w:val="20"/>
                <w:szCs w:val="20"/>
              </w:rPr>
              <w:t>on track to deliver $125m</w:t>
            </w:r>
            <w:r w:rsidR="005371B5">
              <w:rPr>
                <w:rFonts w:ascii="Arial" w:hAnsi="Arial" w:cs="Arial"/>
                <w:b/>
                <w:bCs/>
                <w:color w:val="222222"/>
                <w:sz w:val="20"/>
                <w:szCs w:val="20"/>
              </w:rPr>
              <w:t xml:space="preserve"> p.a.</w:t>
            </w:r>
            <w:r>
              <w:rPr>
                <w:rFonts w:ascii="Arial" w:hAnsi="Arial" w:cs="Arial"/>
                <w:b/>
                <w:bCs/>
                <w:color w:val="222222"/>
                <w:sz w:val="20"/>
                <w:szCs w:val="20"/>
              </w:rPr>
              <w:t xml:space="preserve"> in savings to reinvest to drive growth</w:t>
            </w:r>
          </w:p>
        </w:tc>
      </w:tr>
      <w:tr w:rsidR="00473859" w:rsidRPr="009D430E" w14:paraId="7BE01E0B" w14:textId="77777777" w:rsidTr="00324D79">
        <w:trPr>
          <w:gridBefore w:val="1"/>
          <w:wBefore w:w="142" w:type="dxa"/>
          <w:trHeight w:val="70"/>
        </w:trPr>
        <w:tc>
          <w:tcPr>
            <w:tcW w:w="10348" w:type="dxa"/>
          </w:tcPr>
          <w:p w14:paraId="73B4D86F" w14:textId="4366AB92" w:rsidR="00473859" w:rsidRPr="009D430E" w:rsidRDefault="00C2580B" w:rsidP="009D430E">
            <w:pPr>
              <w:spacing w:before="60" w:after="60"/>
              <w:rPr>
                <w:rFonts w:ascii="Arial" w:hAnsi="Arial" w:cs="Arial"/>
                <w:b/>
              </w:rPr>
            </w:pPr>
            <w:r>
              <w:rPr>
                <w:rFonts w:ascii="Arial" w:hAnsi="Arial" w:cs="Arial"/>
                <w:b/>
              </w:rPr>
              <w:t>Keith Barr</w:t>
            </w:r>
            <w:r w:rsidR="00473859" w:rsidRPr="009D430E">
              <w:rPr>
                <w:rFonts w:ascii="Arial" w:hAnsi="Arial" w:cs="Arial"/>
                <w:b/>
              </w:rPr>
              <w:t>, Chief Executive of InterContinental Hotels Group PLC, said:</w:t>
            </w:r>
          </w:p>
        </w:tc>
      </w:tr>
      <w:tr w:rsidR="0006542B" w:rsidRPr="00FE6F52" w14:paraId="4965EF9A" w14:textId="77777777" w:rsidTr="00324D79">
        <w:trPr>
          <w:gridBefore w:val="1"/>
          <w:wBefore w:w="142" w:type="dxa"/>
          <w:trHeight w:val="2381"/>
        </w:trPr>
        <w:tc>
          <w:tcPr>
            <w:tcW w:w="10348" w:type="dxa"/>
          </w:tcPr>
          <w:p w14:paraId="2C4936A8" w14:textId="3F6F3720" w:rsidR="00F02EC2" w:rsidRDefault="00F02EC2" w:rsidP="00324D79">
            <w:pPr>
              <w:spacing w:before="60" w:after="100"/>
              <w:jc w:val="both"/>
              <w:rPr>
                <w:rFonts w:ascii="Arial" w:hAnsi="Arial" w:cs="Arial"/>
              </w:rPr>
            </w:pPr>
            <w:r>
              <w:rPr>
                <w:rFonts w:ascii="Arial" w:hAnsi="Arial" w:cs="Arial"/>
              </w:rPr>
              <w:t xml:space="preserve">“In the first </w:t>
            </w:r>
            <w:proofErr w:type="gramStart"/>
            <w:r>
              <w:rPr>
                <w:rFonts w:ascii="Arial" w:hAnsi="Arial" w:cs="Arial"/>
              </w:rPr>
              <w:t>quarter</w:t>
            </w:r>
            <w:proofErr w:type="gramEnd"/>
            <w:r>
              <w:rPr>
                <w:rFonts w:ascii="Arial" w:hAnsi="Arial" w:cs="Arial"/>
              </w:rPr>
              <w:t xml:space="preserve"> we delivered RevPAR growth of 3.5%, net system size growth of 4.3% and our best signings pace for eleven years.  This strong performance reflects our focus on driving industry leading net rooms growth</w:t>
            </w:r>
            <w:r w:rsidR="00104C64">
              <w:rPr>
                <w:rFonts w:ascii="Arial" w:hAnsi="Arial" w:cs="Arial"/>
              </w:rPr>
              <w:t xml:space="preserve"> over the medium term</w:t>
            </w:r>
            <w:r>
              <w:rPr>
                <w:rFonts w:ascii="Arial" w:hAnsi="Arial" w:cs="Arial"/>
              </w:rPr>
              <w:t xml:space="preserve">, underpinned by our new strategic initiatives. </w:t>
            </w:r>
          </w:p>
          <w:p w14:paraId="0FC293CA" w14:textId="0F86045F" w:rsidR="00F02EC2" w:rsidRDefault="00F02EC2" w:rsidP="00324D79">
            <w:pPr>
              <w:spacing w:before="60" w:after="100"/>
              <w:jc w:val="both"/>
              <w:rPr>
                <w:rFonts w:ascii="Arial" w:hAnsi="Arial" w:cs="Arial"/>
              </w:rPr>
            </w:pPr>
            <w:r>
              <w:rPr>
                <w:rFonts w:ascii="Arial" w:hAnsi="Arial" w:cs="Arial"/>
              </w:rPr>
              <w:t xml:space="preserve">There continues to be strong momentum across the business. We have made excellent progress against our initiative to expand our footprint in the $60 billion luxury segment, announcing the acquisition of a 51% stake in Regent Hotels </w:t>
            </w:r>
            <w:r w:rsidR="005C66E7">
              <w:rPr>
                <w:rFonts w:ascii="Arial" w:hAnsi="Arial" w:cs="Arial"/>
              </w:rPr>
              <w:t xml:space="preserve">&amp; </w:t>
            </w:r>
            <w:r>
              <w:rPr>
                <w:rFonts w:ascii="Arial" w:hAnsi="Arial" w:cs="Arial"/>
              </w:rPr>
              <w:t xml:space="preserve">Resorts in March.  In addition, </w:t>
            </w:r>
            <w:r w:rsidR="00094FC9">
              <w:rPr>
                <w:rFonts w:ascii="Arial" w:hAnsi="Arial" w:cs="Arial"/>
              </w:rPr>
              <w:t xml:space="preserve">this </w:t>
            </w:r>
            <w:r>
              <w:rPr>
                <w:rFonts w:ascii="Arial" w:hAnsi="Arial" w:cs="Arial"/>
              </w:rPr>
              <w:t xml:space="preserve">week we </w:t>
            </w:r>
            <w:proofErr w:type="gramStart"/>
            <w:r>
              <w:rPr>
                <w:rFonts w:ascii="Arial" w:hAnsi="Arial" w:cs="Arial"/>
              </w:rPr>
              <w:t>entered into an</w:t>
            </w:r>
            <w:proofErr w:type="gramEnd"/>
            <w:r>
              <w:rPr>
                <w:rFonts w:ascii="Arial" w:hAnsi="Arial" w:cs="Arial"/>
              </w:rPr>
              <w:t xml:space="preserve"> agreement to rebrand </w:t>
            </w:r>
            <w:r w:rsidR="00293ED2">
              <w:rPr>
                <w:rFonts w:ascii="Arial" w:hAnsi="Arial" w:cs="Arial"/>
              </w:rPr>
              <w:t xml:space="preserve">and operate </w:t>
            </w:r>
            <w:r>
              <w:rPr>
                <w:rFonts w:ascii="Arial" w:hAnsi="Arial" w:cs="Arial"/>
              </w:rPr>
              <w:t>a</w:t>
            </w:r>
            <w:r w:rsidR="008143A3">
              <w:rPr>
                <w:rFonts w:ascii="Arial" w:hAnsi="Arial" w:cs="Arial"/>
              </w:rPr>
              <w:t xml:space="preserve"> high</w:t>
            </w:r>
            <w:r w:rsidR="00612337">
              <w:rPr>
                <w:rFonts w:ascii="Arial" w:hAnsi="Arial" w:cs="Arial"/>
              </w:rPr>
              <w:t>-</w:t>
            </w:r>
            <w:r w:rsidR="008143A3">
              <w:rPr>
                <w:rFonts w:ascii="Arial" w:hAnsi="Arial" w:cs="Arial"/>
              </w:rPr>
              <w:t>quality</w:t>
            </w:r>
            <w:r>
              <w:rPr>
                <w:rFonts w:ascii="Arial" w:hAnsi="Arial" w:cs="Arial"/>
              </w:rPr>
              <w:t xml:space="preserve"> portfolio of </w:t>
            </w:r>
            <w:r w:rsidR="006570B8">
              <w:rPr>
                <w:rFonts w:ascii="Arial" w:hAnsi="Arial" w:cs="Arial"/>
              </w:rPr>
              <w:t xml:space="preserve">13 </w:t>
            </w:r>
            <w:r>
              <w:rPr>
                <w:rFonts w:ascii="Arial" w:hAnsi="Arial" w:cs="Arial"/>
              </w:rPr>
              <w:t>hotels in the UK</w:t>
            </w:r>
            <w:r w:rsidR="003948FE">
              <w:rPr>
                <w:rFonts w:ascii="Arial" w:hAnsi="Arial" w:cs="Arial"/>
              </w:rPr>
              <w:t xml:space="preserve">. This </w:t>
            </w:r>
            <w:r>
              <w:rPr>
                <w:rFonts w:ascii="Arial" w:hAnsi="Arial" w:cs="Arial"/>
              </w:rPr>
              <w:t>will establish IHG as the leading luxury operator in this market</w:t>
            </w:r>
            <w:r w:rsidR="00735902">
              <w:rPr>
                <w:rFonts w:ascii="Arial" w:hAnsi="Arial" w:cs="Arial"/>
              </w:rPr>
              <w:t>,</w:t>
            </w:r>
            <w:r>
              <w:rPr>
                <w:rFonts w:ascii="Arial" w:hAnsi="Arial" w:cs="Arial"/>
              </w:rPr>
              <w:t xml:space="preserve"> launch our luxury boutique brand Kimpton Hotels &amp; Restaurants in the UK</w:t>
            </w:r>
            <w:r w:rsidR="00735902">
              <w:rPr>
                <w:rFonts w:ascii="Arial" w:hAnsi="Arial" w:cs="Arial"/>
              </w:rPr>
              <w:t>,</w:t>
            </w:r>
            <w:r>
              <w:rPr>
                <w:rFonts w:ascii="Arial" w:hAnsi="Arial" w:cs="Arial"/>
              </w:rPr>
              <w:t xml:space="preserve"> and establish a position for our new upscale brand, principally focused on conversion opportunities. Signings for our new mainstream brand, avid hotels, continue to exceed our expectations, </w:t>
            </w:r>
            <w:r w:rsidR="006621BC">
              <w:rPr>
                <w:rFonts w:ascii="Arial" w:hAnsi="Arial" w:cs="Arial"/>
              </w:rPr>
              <w:t xml:space="preserve">and </w:t>
            </w:r>
            <w:r>
              <w:rPr>
                <w:rFonts w:ascii="Arial" w:hAnsi="Arial" w:cs="Arial"/>
              </w:rPr>
              <w:t xml:space="preserve">now </w:t>
            </w:r>
            <w:r w:rsidR="006621BC">
              <w:rPr>
                <w:rFonts w:ascii="Arial" w:hAnsi="Arial" w:cs="Arial"/>
              </w:rPr>
              <w:t xml:space="preserve">total more than </w:t>
            </w:r>
            <w:r w:rsidR="00452E5C">
              <w:rPr>
                <w:rFonts w:ascii="Arial" w:hAnsi="Arial" w:cs="Arial"/>
              </w:rPr>
              <w:t>10</w:t>
            </w:r>
            <w:r w:rsidR="006621BC">
              <w:rPr>
                <w:rFonts w:ascii="Arial" w:hAnsi="Arial" w:cs="Arial"/>
              </w:rPr>
              <w:t>0</w:t>
            </w:r>
            <w:r>
              <w:rPr>
                <w:rFonts w:ascii="Arial" w:hAnsi="Arial" w:cs="Arial"/>
              </w:rPr>
              <w:t xml:space="preserve"> </w:t>
            </w:r>
            <w:r w:rsidR="00094FC9">
              <w:rPr>
                <w:rFonts w:ascii="Arial" w:hAnsi="Arial" w:cs="Arial"/>
              </w:rPr>
              <w:t xml:space="preserve">hotels, </w:t>
            </w:r>
            <w:r w:rsidR="00FB38EC">
              <w:rPr>
                <w:rFonts w:ascii="Arial" w:hAnsi="Arial" w:cs="Arial"/>
              </w:rPr>
              <w:t>one every other day since launch</w:t>
            </w:r>
            <w:r w:rsidR="006621BC">
              <w:rPr>
                <w:rFonts w:ascii="Arial" w:hAnsi="Arial" w:cs="Arial"/>
              </w:rPr>
              <w:t>.</w:t>
            </w:r>
          </w:p>
          <w:p w14:paraId="36AC6E2C" w14:textId="22FAC4FA" w:rsidR="00F02EC2" w:rsidRDefault="00F02EC2" w:rsidP="00324D79">
            <w:pPr>
              <w:spacing w:before="60" w:after="100"/>
              <w:jc w:val="both"/>
              <w:rPr>
                <w:rFonts w:ascii="Arial" w:hAnsi="Arial" w:cs="Arial"/>
              </w:rPr>
            </w:pPr>
            <w:r>
              <w:rPr>
                <w:rFonts w:ascii="Arial" w:hAnsi="Arial" w:cs="Arial"/>
              </w:rPr>
              <w:t>Our roll out of IHG Concert</w:t>
            </w:r>
            <w:r w:rsidR="00FB45AD">
              <w:rPr>
                <w:rFonts w:ascii="Arial" w:hAnsi="Arial" w:cs="Arial"/>
              </w:rPr>
              <w:t>o</w:t>
            </w:r>
            <w:r>
              <w:rPr>
                <w:rFonts w:ascii="Arial" w:hAnsi="Arial" w:cs="Arial"/>
              </w:rPr>
              <w:t>, incorporating our new Guest Reservation System, continues at pace, with more than 1,000 hotels now using the platform</w:t>
            </w:r>
            <w:r w:rsidR="00FB45AD">
              <w:rPr>
                <w:rFonts w:ascii="Arial" w:hAnsi="Arial" w:cs="Arial"/>
              </w:rPr>
              <w:t>,</w:t>
            </w:r>
            <w:r>
              <w:rPr>
                <w:rFonts w:ascii="Arial" w:hAnsi="Arial" w:cs="Arial"/>
              </w:rPr>
              <w:t xml:space="preserve"> and we are on-track to complete roll-out by the end of 2018</w:t>
            </w:r>
            <w:r w:rsidR="00FB45AD">
              <w:rPr>
                <w:rFonts w:ascii="Arial" w:hAnsi="Arial" w:cs="Arial"/>
              </w:rPr>
              <w:t xml:space="preserve"> </w:t>
            </w:r>
            <w:r>
              <w:rPr>
                <w:rFonts w:ascii="Arial" w:hAnsi="Arial" w:cs="Arial"/>
              </w:rPr>
              <w:t>/ early 2019.</w:t>
            </w:r>
          </w:p>
          <w:p w14:paraId="55BCDC8D" w14:textId="3C7F6447" w:rsidR="003637EA" w:rsidRPr="00FE6F52" w:rsidRDefault="00F02EC2" w:rsidP="00324D79">
            <w:pPr>
              <w:spacing w:before="60" w:after="100"/>
              <w:jc w:val="both"/>
              <w:rPr>
                <w:rFonts w:ascii="Arial" w:hAnsi="Arial" w:cs="Arial"/>
              </w:rPr>
            </w:pPr>
            <w:r>
              <w:rPr>
                <w:rFonts w:ascii="Arial" w:hAnsi="Arial" w:cs="Arial"/>
              </w:rPr>
              <w:t>The fundamentals for our industry remain str</w:t>
            </w:r>
            <w:r w:rsidR="00C044BB">
              <w:rPr>
                <w:rFonts w:ascii="Arial" w:hAnsi="Arial" w:cs="Arial"/>
              </w:rPr>
              <w:t>on</w:t>
            </w:r>
            <w:r w:rsidR="002D1F81">
              <w:rPr>
                <w:rFonts w:ascii="Arial" w:hAnsi="Arial" w:cs="Arial"/>
              </w:rPr>
              <w:t>g</w:t>
            </w:r>
            <w:r w:rsidR="00C044BB">
              <w:rPr>
                <w:rFonts w:ascii="Arial" w:hAnsi="Arial" w:cs="Arial"/>
              </w:rPr>
              <w:t>, we have the right strategy,</w:t>
            </w:r>
            <w:r w:rsidR="002D1F81">
              <w:rPr>
                <w:rFonts w:ascii="Arial" w:hAnsi="Arial" w:cs="Arial"/>
              </w:rPr>
              <w:t xml:space="preserve"> and we are confident in the</w:t>
            </w:r>
            <w:r>
              <w:rPr>
                <w:rFonts w:ascii="Arial" w:hAnsi="Arial" w:cs="Arial"/>
              </w:rPr>
              <w:t xml:space="preserve"> outlook for the year ahead</w:t>
            </w:r>
            <w:r w:rsidR="001E5511" w:rsidRPr="001E5511">
              <w:rPr>
                <w:rFonts w:ascii="Arial" w:hAnsi="Arial" w:cs="Arial"/>
              </w:rPr>
              <w:t>.”</w:t>
            </w:r>
          </w:p>
        </w:tc>
      </w:tr>
      <w:tr w:rsidR="00473859" w:rsidRPr="009D430E" w14:paraId="00CC8126" w14:textId="77777777" w:rsidTr="00324D79">
        <w:tblPrEx>
          <w:tblBorders>
            <w:insideH w:val="none" w:sz="0" w:space="0" w:color="auto"/>
            <w:insideV w:val="none" w:sz="0" w:space="0" w:color="auto"/>
          </w:tblBorders>
        </w:tblPrEx>
        <w:trPr>
          <w:gridBefore w:val="1"/>
          <w:wBefore w:w="142" w:type="dxa"/>
        </w:trPr>
        <w:tc>
          <w:tcPr>
            <w:tcW w:w="10348" w:type="dxa"/>
            <w:tcBorders>
              <w:top w:val="single" w:sz="4" w:space="0" w:color="auto"/>
              <w:left w:val="nil"/>
              <w:bottom w:val="single" w:sz="4" w:space="0" w:color="auto"/>
              <w:right w:val="nil"/>
            </w:tcBorders>
          </w:tcPr>
          <w:p w14:paraId="6A1D4AD3" w14:textId="525C63E9" w:rsidR="00473859" w:rsidRPr="009D430E" w:rsidRDefault="00167850" w:rsidP="009D430E">
            <w:pPr>
              <w:spacing w:before="60" w:after="60"/>
              <w:jc w:val="both"/>
              <w:rPr>
                <w:rFonts w:ascii="Arial" w:hAnsi="Arial" w:cs="Arial"/>
                <w:b/>
              </w:rPr>
            </w:pPr>
            <w:r>
              <w:rPr>
                <w:rFonts w:ascii="Arial" w:hAnsi="Arial" w:cs="Arial"/>
                <w:b/>
              </w:rPr>
              <w:t>First</w:t>
            </w:r>
            <w:r w:rsidR="00C65DC2" w:rsidRPr="009D430E">
              <w:rPr>
                <w:rFonts w:ascii="Arial" w:hAnsi="Arial" w:cs="Arial"/>
                <w:b/>
              </w:rPr>
              <w:t xml:space="preserve"> </w:t>
            </w:r>
            <w:r w:rsidR="00215BC1" w:rsidRPr="009D430E">
              <w:rPr>
                <w:rFonts w:ascii="Arial" w:hAnsi="Arial" w:cs="Arial"/>
                <w:b/>
              </w:rPr>
              <w:t xml:space="preserve">Quarter </w:t>
            </w:r>
            <w:r w:rsidR="00473859" w:rsidRPr="009D430E">
              <w:rPr>
                <w:rFonts w:ascii="Arial" w:hAnsi="Arial" w:cs="Arial"/>
                <w:b/>
              </w:rPr>
              <w:t>RevPAR performance</w:t>
            </w:r>
            <w:r w:rsidR="00EF728D" w:rsidRPr="009D430E">
              <w:rPr>
                <w:rFonts w:ascii="Arial" w:hAnsi="Arial" w:cs="Arial"/>
                <w:b/>
              </w:rPr>
              <w:t xml:space="preserve"> </w:t>
            </w:r>
          </w:p>
        </w:tc>
      </w:tr>
      <w:tr w:rsidR="003146C1" w:rsidRPr="003146C1" w14:paraId="41D001D9" w14:textId="77777777" w:rsidTr="00324D79">
        <w:tblPrEx>
          <w:tblBorders>
            <w:insideH w:val="none" w:sz="0" w:space="0" w:color="auto"/>
            <w:insideV w:val="none" w:sz="0" w:space="0" w:color="auto"/>
          </w:tblBorders>
        </w:tblPrEx>
        <w:trPr>
          <w:gridBefore w:val="1"/>
          <w:wBefore w:w="142" w:type="dxa"/>
          <w:trHeight w:val="1340"/>
        </w:trPr>
        <w:tc>
          <w:tcPr>
            <w:tcW w:w="10348" w:type="dxa"/>
            <w:tcBorders>
              <w:top w:val="nil"/>
              <w:left w:val="nil"/>
              <w:bottom w:val="nil"/>
              <w:right w:val="nil"/>
            </w:tcBorders>
          </w:tcPr>
          <w:p w14:paraId="35245D07" w14:textId="77777777" w:rsidR="00167850" w:rsidRPr="003146C1" w:rsidRDefault="00167850">
            <w:pPr>
              <w:spacing w:before="60" w:after="20"/>
              <w:jc w:val="both"/>
              <w:rPr>
                <w:rFonts w:ascii="Arial" w:hAnsi="Arial" w:cs="Arial"/>
                <w:b/>
              </w:rPr>
            </w:pPr>
            <w:r w:rsidRPr="003146C1">
              <w:rPr>
                <w:rFonts w:ascii="Arial" w:hAnsi="Arial" w:cs="Arial"/>
                <w:b/>
              </w:rPr>
              <w:t>Group</w:t>
            </w:r>
          </w:p>
          <w:p w14:paraId="42167B10" w14:textId="3F916321" w:rsidR="00167850" w:rsidRPr="003146C1" w:rsidRDefault="00167850" w:rsidP="009D430E">
            <w:pPr>
              <w:spacing w:before="60" w:after="60"/>
              <w:jc w:val="both"/>
              <w:rPr>
                <w:rFonts w:ascii="Arial" w:hAnsi="Arial" w:cs="Arial"/>
                <w:b/>
              </w:rPr>
            </w:pPr>
            <w:r w:rsidRPr="003146C1">
              <w:rPr>
                <w:rFonts w:ascii="Arial" w:hAnsi="Arial" w:cs="Arial"/>
              </w:rPr>
              <w:t xml:space="preserve">RevPAR was up </w:t>
            </w:r>
            <w:r w:rsidR="00C2580B">
              <w:rPr>
                <w:rFonts w:ascii="Arial" w:hAnsi="Arial" w:cs="Arial"/>
              </w:rPr>
              <w:t>3.5</w:t>
            </w:r>
            <w:r w:rsidRPr="003146C1">
              <w:rPr>
                <w:rFonts w:ascii="Arial" w:hAnsi="Arial" w:cs="Arial"/>
              </w:rPr>
              <w:t xml:space="preserve">%, with rate up </w:t>
            </w:r>
            <w:r w:rsidR="00C2580B">
              <w:rPr>
                <w:rFonts w:ascii="Arial" w:hAnsi="Arial" w:cs="Arial"/>
              </w:rPr>
              <w:t xml:space="preserve">1.9% and occupancy </w:t>
            </w:r>
            <w:r w:rsidR="00C2580B" w:rsidRPr="005D3E1F">
              <w:rPr>
                <w:rFonts w:ascii="Arial" w:hAnsi="Arial" w:cs="Arial"/>
              </w:rPr>
              <w:t>up 1.</w:t>
            </w:r>
            <w:r w:rsidR="005D3E1F" w:rsidRPr="005D3E1F">
              <w:rPr>
                <w:rFonts w:ascii="Arial" w:hAnsi="Arial" w:cs="Arial"/>
              </w:rPr>
              <w:t>0</w:t>
            </w:r>
            <w:r w:rsidRPr="005D3E1F">
              <w:rPr>
                <w:rFonts w:ascii="Arial" w:hAnsi="Arial" w:cs="Arial"/>
              </w:rPr>
              <w:t>%</w:t>
            </w:r>
            <w:r w:rsidR="009D3B30">
              <w:rPr>
                <w:rFonts w:ascii="Arial" w:hAnsi="Arial" w:cs="Arial"/>
              </w:rPr>
              <w:t>pt</w:t>
            </w:r>
            <w:r w:rsidRPr="005D3E1F">
              <w:rPr>
                <w:rFonts w:ascii="Arial" w:hAnsi="Arial" w:cs="Arial"/>
              </w:rPr>
              <w:t xml:space="preserve">. </w:t>
            </w:r>
            <w:r w:rsidR="00BC6725">
              <w:rPr>
                <w:rFonts w:ascii="Arial" w:hAnsi="Arial" w:cs="Arial"/>
              </w:rPr>
              <w:t xml:space="preserve"> </w:t>
            </w:r>
            <w:r w:rsidRPr="005D3E1F">
              <w:rPr>
                <w:rFonts w:ascii="Arial" w:hAnsi="Arial" w:cs="Arial"/>
              </w:rPr>
              <w:t xml:space="preserve">The </w:t>
            </w:r>
            <w:r w:rsidR="00260FF3">
              <w:rPr>
                <w:rFonts w:ascii="Arial" w:hAnsi="Arial" w:cs="Arial"/>
              </w:rPr>
              <w:t>earlier timing of the Easter weekend, which</w:t>
            </w:r>
            <w:r w:rsidR="00324D79">
              <w:rPr>
                <w:rFonts w:ascii="Arial" w:hAnsi="Arial" w:cs="Arial"/>
              </w:rPr>
              <w:t xml:space="preserve"> in 2018</w:t>
            </w:r>
            <w:r w:rsidR="00260FF3">
              <w:rPr>
                <w:rFonts w:ascii="Arial" w:hAnsi="Arial" w:cs="Arial"/>
              </w:rPr>
              <w:t xml:space="preserve"> was split evenly between March and April, </w:t>
            </w:r>
            <w:r w:rsidRPr="005D3E1F">
              <w:rPr>
                <w:rFonts w:ascii="Arial" w:hAnsi="Arial" w:cs="Arial"/>
              </w:rPr>
              <w:t xml:space="preserve">had a </w:t>
            </w:r>
            <w:r w:rsidR="00C2580B" w:rsidRPr="005D3E1F">
              <w:rPr>
                <w:rFonts w:ascii="Arial" w:hAnsi="Arial" w:cs="Arial"/>
              </w:rPr>
              <w:t>negative impact</w:t>
            </w:r>
            <w:r w:rsidR="00647274" w:rsidRPr="005D3E1F">
              <w:rPr>
                <w:rFonts w:ascii="Arial" w:hAnsi="Arial" w:cs="Arial"/>
              </w:rPr>
              <w:t xml:space="preserve"> </w:t>
            </w:r>
            <w:r w:rsidR="00260FF3">
              <w:rPr>
                <w:rFonts w:ascii="Arial" w:hAnsi="Arial" w:cs="Arial"/>
              </w:rPr>
              <w:t>on RevPAR</w:t>
            </w:r>
            <w:r w:rsidR="00324D79">
              <w:rPr>
                <w:rFonts w:ascii="Arial" w:hAnsi="Arial" w:cs="Arial"/>
              </w:rPr>
              <w:t xml:space="preserve"> growth</w:t>
            </w:r>
            <w:r w:rsidR="00260FF3">
              <w:rPr>
                <w:rFonts w:ascii="Arial" w:hAnsi="Arial" w:cs="Arial"/>
              </w:rPr>
              <w:t xml:space="preserve"> </w:t>
            </w:r>
            <w:r w:rsidRPr="005D3E1F">
              <w:rPr>
                <w:rFonts w:ascii="Arial" w:hAnsi="Arial" w:cs="Arial"/>
              </w:rPr>
              <w:t>in the Americas and Eu</w:t>
            </w:r>
            <w:r w:rsidR="00260FF3">
              <w:rPr>
                <w:rFonts w:ascii="Arial" w:hAnsi="Arial" w:cs="Arial"/>
              </w:rPr>
              <w:t>rope.</w:t>
            </w:r>
          </w:p>
          <w:p w14:paraId="6A2C0F2E" w14:textId="6F5F9CFD" w:rsidR="00A22580" w:rsidRPr="00EB46CD" w:rsidRDefault="00A22580">
            <w:pPr>
              <w:spacing w:before="60" w:after="20"/>
              <w:jc w:val="both"/>
              <w:rPr>
                <w:rFonts w:ascii="Arial" w:hAnsi="Arial" w:cs="Arial"/>
                <w:b/>
              </w:rPr>
            </w:pPr>
            <w:r w:rsidRPr="003146C1">
              <w:rPr>
                <w:rFonts w:ascii="Arial" w:hAnsi="Arial" w:cs="Arial"/>
                <w:b/>
              </w:rPr>
              <w:t xml:space="preserve">Americas </w:t>
            </w:r>
          </w:p>
          <w:p w14:paraId="78AA8C29" w14:textId="3459B7B6" w:rsidR="00A943EE" w:rsidRPr="003146C1" w:rsidRDefault="00F859DE" w:rsidP="008143A3">
            <w:pPr>
              <w:jc w:val="both"/>
              <w:rPr>
                <w:rFonts w:ascii="Arial" w:hAnsi="Arial" w:cs="Arial"/>
              </w:rPr>
            </w:pPr>
            <w:r>
              <w:rPr>
                <w:rFonts w:ascii="Arial" w:hAnsi="Arial" w:cs="Arial"/>
              </w:rPr>
              <w:t>RevPAR was up 2.9%, with the US up</w:t>
            </w:r>
            <w:r w:rsidRPr="005D3E1F">
              <w:rPr>
                <w:rFonts w:ascii="Arial" w:hAnsi="Arial" w:cs="Arial"/>
              </w:rPr>
              <w:t xml:space="preserve"> 2.2%</w:t>
            </w:r>
            <w:r>
              <w:rPr>
                <w:rFonts w:ascii="Arial" w:hAnsi="Arial" w:cs="Arial"/>
              </w:rPr>
              <w:t xml:space="preserve">.  Trading in the US was impacted by </w:t>
            </w:r>
            <w:proofErr w:type="gramStart"/>
            <w:r>
              <w:rPr>
                <w:rFonts w:ascii="Arial" w:hAnsi="Arial" w:cs="Arial"/>
              </w:rPr>
              <w:t>a number of</w:t>
            </w:r>
            <w:proofErr w:type="gramEnd"/>
            <w:r>
              <w:rPr>
                <w:rFonts w:ascii="Arial" w:hAnsi="Arial" w:cs="Arial"/>
              </w:rPr>
              <w:t xml:space="preserve"> </w:t>
            </w:r>
            <w:r w:rsidR="00735902">
              <w:rPr>
                <w:rFonts w:ascii="Arial" w:hAnsi="Arial" w:cs="Arial"/>
              </w:rPr>
              <w:t xml:space="preserve">both </w:t>
            </w:r>
            <w:r w:rsidR="001E172C">
              <w:rPr>
                <w:rFonts w:ascii="Arial" w:hAnsi="Arial" w:cs="Arial"/>
              </w:rPr>
              <w:t xml:space="preserve">positive and negative </w:t>
            </w:r>
            <w:r>
              <w:rPr>
                <w:rFonts w:ascii="Arial" w:hAnsi="Arial" w:cs="Arial"/>
              </w:rPr>
              <w:t>factors</w:t>
            </w:r>
            <w:r w:rsidR="00735902">
              <w:rPr>
                <w:rFonts w:ascii="Arial" w:hAnsi="Arial" w:cs="Arial"/>
              </w:rPr>
              <w:t>;</w:t>
            </w:r>
            <w:r>
              <w:rPr>
                <w:rFonts w:ascii="Arial" w:hAnsi="Arial" w:cs="Arial"/>
              </w:rPr>
              <w:t xml:space="preserve"> </w:t>
            </w:r>
            <w:r w:rsidR="00735902">
              <w:rPr>
                <w:rFonts w:ascii="Arial" w:hAnsi="Arial" w:cs="Arial"/>
              </w:rPr>
              <w:t xml:space="preserve">we </w:t>
            </w:r>
            <w:r>
              <w:rPr>
                <w:rFonts w:ascii="Arial" w:hAnsi="Arial" w:cs="Arial"/>
              </w:rPr>
              <w:t xml:space="preserve">estimate that underlying growth was </w:t>
            </w:r>
            <w:r w:rsidR="00735902">
              <w:rPr>
                <w:rFonts w:ascii="Arial" w:hAnsi="Arial" w:cs="Arial"/>
              </w:rPr>
              <w:t xml:space="preserve">approximately </w:t>
            </w:r>
            <w:r>
              <w:rPr>
                <w:rFonts w:ascii="Arial" w:hAnsi="Arial" w:cs="Arial"/>
              </w:rPr>
              <w:t>2.5%</w:t>
            </w:r>
            <w:r w:rsidR="002C58BD" w:rsidRPr="008143A3">
              <w:rPr>
                <w:rFonts w:ascii="Arial" w:hAnsi="Arial" w:cs="Arial"/>
              </w:rPr>
              <w:t xml:space="preserve">.  </w:t>
            </w:r>
            <w:r w:rsidR="002D1F81" w:rsidRPr="005D3E1F">
              <w:rPr>
                <w:rFonts w:ascii="Arial" w:hAnsi="Arial" w:cs="Arial"/>
              </w:rPr>
              <w:t xml:space="preserve">Elsewhere in the region, Canada </w:t>
            </w:r>
            <w:r w:rsidR="002D1F81">
              <w:rPr>
                <w:rFonts w:ascii="Arial" w:hAnsi="Arial" w:cs="Arial"/>
              </w:rPr>
              <w:t>was up 7%, benefitting from a robust convention calendar, whilst Latin America and the Caribbean w</w:t>
            </w:r>
            <w:r w:rsidR="007B3AB6">
              <w:rPr>
                <w:rFonts w:ascii="Arial" w:hAnsi="Arial" w:cs="Arial"/>
              </w:rPr>
              <w:t>ere</w:t>
            </w:r>
            <w:r w:rsidR="002D1F81">
              <w:rPr>
                <w:rFonts w:ascii="Arial" w:hAnsi="Arial" w:cs="Arial"/>
              </w:rPr>
              <w:t xml:space="preserve"> up 16%, </w:t>
            </w:r>
            <w:r w:rsidR="00762FB1">
              <w:rPr>
                <w:rFonts w:ascii="Arial" w:hAnsi="Arial" w:cs="Arial"/>
              </w:rPr>
              <w:t xml:space="preserve">aided by reduced industry supply </w:t>
            </w:r>
            <w:r w:rsidR="002D1F81">
              <w:rPr>
                <w:rFonts w:ascii="Arial" w:hAnsi="Arial" w:cs="Arial"/>
              </w:rPr>
              <w:t>following</w:t>
            </w:r>
            <w:r w:rsidR="00552DBE">
              <w:rPr>
                <w:rFonts w:ascii="Arial" w:hAnsi="Arial" w:cs="Arial"/>
              </w:rPr>
              <w:t xml:space="preserve"> hurricane</w:t>
            </w:r>
            <w:r w:rsidR="002D1F81">
              <w:rPr>
                <w:rFonts w:ascii="Arial" w:hAnsi="Arial" w:cs="Arial"/>
              </w:rPr>
              <w:t xml:space="preserve"> </w:t>
            </w:r>
            <w:r w:rsidR="00552DBE">
              <w:rPr>
                <w:rFonts w:ascii="Arial" w:hAnsi="Arial" w:cs="Arial"/>
              </w:rPr>
              <w:t xml:space="preserve">activity </w:t>
            </w:r>
            <w:r w:rsidR="002D1F81">
              <w:rPr>
                <w:rFonts w:ascii="Arial" w:hAnsi="Arial" w:cs="Arial"/>
              </w:rPr>
              <w:t xml:space="preserve">in </w:t>
            </w:r>
            <w:r w:rsidR="00A25302">
              <w:rPr>
                <w:rFonts w:ascii="Arial" w:hAnsi="Arial" w:cs="Arial"/>
              </w:rPr>
              <w:t xml:space="preserve">late </w:t>
            </w:r>
            <w:r w:rsidR="002D1F81">
              <w:rPr>
                <w:rFonts w:ascii="Arial" w:hAnsi="Arial" w:cs="Arial"/>
              </w:rPr>
              <w:t>2017.</w:t>
            </w:r>
            <w:r w:rsidR="000B3730">
              <w:rPr>
                <w:rFonts w:ascii="Arial" w:hAnsi="Arial" w:cs="Arial"/>
              </w:rPr>
              <w:t xml:space="preserve"> </w:t>
            </w:r>
            <w:r w:rsidR="002D1F81">
              <w:rPr>
                <w:rFonts w:ascii="Arial" w:hAnsi="Arial" w:cs="Arial"/>
              </w:rPr>
              <w:t xml:space="preserve"> In </w:t>
            </w:r>
            <w:r w:rsidR="005D3E1F" w:rsidRPr="005D3E1F">
              <w:rPr>
                <w:rFonts w:ascii="Arial" w:hAnsi="Arial" w:cs="Arial"/>
              </w:rPr>
              <w:t xml:space="preserve">Mexico RevPAR was </w:t>
            </w:r>
            <w:r w:rsidR="007929E1">
              <w:rPr>
                <w:rFonts w:ascii="Arial" w:hAnsi="Arial" w:cs="Arial"/>
              </w:rPr>
              <w:t xml:space="preserve">flat, </w:t>
            </w:r>
            <w:r w:rsidR="00C40CFB">
              <w:rPr>
                <w:rFonts w:ascii="Arial" w:hAnsi="Arial" w:cs="Arial"/>
              </w:rPr>
              <w:t xml:space="preserve">adversely </w:t>
            </w:r>
            <w:r w:rsidR="007929E1">
              <w:rPr>
                <w:rFonts w:ascii="Arial" w:hAnsi="Arial" w:cs="Arial"/>
              </w:rPr>
              <w:t>impacted by the strengthening of the Mexican peso against the US dollar.</w:t>
            </w:r>
            <w:r w:rsidR="005D3E1F" w:rsidRPr="005D3E1F">
              <w:rPr>
                <w:rFonts w:ascii="Arial" w:hAnsi="Arial" w:cs="Arial"/>
              </w:rPr>
              <w:t xml:space="preserve"> </w:t>
            </w:r>
          </w:p>
        </w:tc>
      </w:tr>
      <w:tr w:rsidR="007434A8" w:rsidRPr="007434A8" w14:paraId="42F55502" w14:textId="77777777" w:rsidTr="00324D79">
        <w:tblPrEx>
          <w:tblBorders>
            <w:insideH w:val="none" w:sz="0" w:space="0" w:color="auto"/>
            <w:insideV w:val="none" w:sz="0" w:space="0" w:color="auto"/>
          </w:tblBorders>
        </w:tblPrEx>
        <w:trPr>
          <w:gridBefore w:val="1"/>
          <w:wBefore w:w="142" w:type="dxa"/>
        </w:trPr>
        <w:tc>
          <w:tcPr>
            <w:tcW w:w="10348" w:type="dxa"/>
            <w:tcBorders>
              <w:top w:val="nil"/>
              <w:left w:val="nil"/>
              <w:bottom w:val="single" w:sz="4" w:space="0" w:color="FFFFFF" w:themeColor="background1"/>
              <w:right w:val="nil"/>
            </w:tcBorders>
          </w:tcPr>
          <w:p w14:paraId="6DF26653" w14:textId="586F6A02" w:rsidR="009D2469" w:rsidRPr="003B4FF5" w:rsidRDefault="004F542D">
            <w:pPr>
              <w:spacing w:before="60" w:after="20"/>
              <w:jc w:val="both"/>
              <w:rPr>
                <w:rFonts w:ascii="Arial" w:hAnsi="Arial" w:cs="Arial"/>
                <w:b/>
              </w:rPr>
            </w:pPr>
            <w:r w:rsidRPr="003B4FF5">
              <w:rPr>
                <w:rFonts w:ascii="Arial" w:hAnsi="Arial" w:cs="Arial"/>
                <w:b/>
              </w:rPr>
              <w:t>Europe</w:t>
            </w:r>
            <w:r w:rsidR="009D2469">
              <w:rPr>
                <w:rFonts w:ascii="Arial" w:hAnsi="Arial" w:cs="Arial"/>
                <w:b/>
              </w:rPr>
              <w:t>,</w:t>
            </w:r>
            <w:r w:rsidR="009D2469" w:rsidRPr="003B4FF5">
              <w:rPr>
                <w:rFonts w:ascii="Arial" w:hAnsi="Arial" w:cs="Arial"/>
                <w:b/>
              </w:rPr>
              <w:t xml:space="preserve"> Middle East</w:t>
            </w:r>
            <w:r w:rsidR="00BC6725">
              <w:rPr>
                <w:rFonts w:ascii="Arial" w:hAnsi="Arial" w:cs="Arial"/>
                <w:b/>
              </w:rPr>
              <w:t>,</w:t>
            </w:r>
            <w:r w:rsidR="009D2469" w:rsidRPr="003B4FF5">
              <w:rPr>
                <w:rFonts w:ascii="Arial" w:hAnsi="Arial" w:cs="Arial"/>
                <w:b/>
              </w:rPr>
              <w:t xml:space="preserve"> </w:t>
            </w:r>
            <w:r w:rsidR="00BC6725">
              <w:rPr>
                <w:rFonts w:ascii="Arial" w:hAnsi="Arial" w:cs="Arial"/>
                <w:b/>
              </w:rPr>
              <w:t>Asia</w:t>
            </w:r>
            <w:r w:rsidR="0044572E">
              <w:rPr>
                <w:rFonts w:ascii="Arial" w:hAnsi="Arial" w:cs="Arial"/>
                <w:b/>
              </w:rPr>
              <w:t xml:space="preserve"> &amp; Africa</w:t>
            </w:r>
          </w:p>
          <w:p w14:paraId="06D0CBC8" w14:textId="0B2679BC" w:rsidR="009215CB" w:rsidRDefault="004F542D" w:rsidP="008143A3">
            <w:pPr>
              <w:spacing w:before="60" w:after="40"/>
              <w:jc w:val="both"/>
              <w:rPr>
                <w:rFonts w:ascii="Arial" w:hAnsi="Arial" w:cs="Arial"/>
                <w:color w:val="000000" w:themeColor="text1"/>
              </w:rPr>
            </w:pPr>
            <w:r w:rsidRPr="003B4FF5">
              <w:rPr>
                <w:rFonts w:ascii="Arial" w:hAnsi="Arial" w:cs="Arial"/>
              </w:rPr>
              <w:t xml:space="preserve">RevPAR was </w:t>
            </w:r>
            <w:r w:rsidR="00D9452F" w:rsidRPr="003B4FF5">
              <w:rPr>
                <w:rFonts w:ascii="Arial" w:hAnsi="Arial" w:cs="Arial"/>
              </w:rPr>
              <w:t xml:space="preserve">up </w:t>
            </w:r>
            <w:r w:rsidR="009D2469">
              <w:rPr>
                <w:rFonts w:ascii="Arial" w:hAnsi="Arial" w:cs="Arial"/>
              </w:rPr>
              <w:t>2.</w:t>
            </w:r>
            <w:r w:rsidR="00C40CFB">
              <w:rPr>
                <w:rFonts w:ascii="Arial" w:hAnsi="Arial" w:cs="Arial"/>
              </w:rPr>
              <w:t>9</w:t>
            </w:r>
            <w:r w:rsidR="00D9452F" w:rsidRPr="003B4FF5">
              <w:rPr>
                <w:rFonts w:ascii="Arial" w:hAnsi="Arial" w:cs="Arial"/>
              </w:rPr>
              <w:t>%</w:t>
            </w:r>
            <w:r w:rsidR="009D2469">
              <w:rPr>
                <w:rFonts w:ascii="Arial" w:hAnsi="Arial" w:cs="Arial"/>
              </w:rPr>
              <w:t xml:space="preserve"> in </w:t>
            </w:r>
            <w:r w:rsidR="009D2469" w:rsidRPr="00F636DD">
              <w:rPr>
                <w:rFonts w:ascii="Arial" w:hAnsi="Arial" w:cs="Arial"/>
              </w:rPr>
              <w:t>Q1</w:t>
            </w:r>
            <w:r w:rsidR="004213A1" w:rsidRPr="00F636DD">
              <w:rPr>
                <w:rFonts w:ascii="Arial" w:hAnsi="Arial" w:cs="Arial"/>
              </w:rPr>
              <w:t xml:space="preserve">. </w:t>
            </w:r>
            <w:r w:rsidR="006D12D7">
              <w:rPr>
                <w:rFonts w:ascii="Arial" w:hAnsi="Arial" w:cs="Arial"/>
              </w:rPr>
              <w:t>Co</w:t>
            </w:r>
            <w:r w:rsidR="00992C87">
              <w:rPr>
                <w:rFonts w:ascii="Arial" w:hAnsi="Arial" w:cs="Arial"/>
              </w:rPr>
              <w:t>ntinental Europe RevPAR was up 6</w:t>
            </w:r>
            <w:r w:rsidR="006D12D7">
              <w:rPr>
                <w:rFonts w:ascii="Arial" w:hAnsi="Arial" w:cs="Arial"/>
              </w:rPr>
              <w:t>% with continued recovery in terror impacted markets (France and Belg</w:t>
            </w:r>
            <w:r w:rsidR="009D3B30">
              <w:rPr>
                <w:rFonts w:ascii="Arial" w:hAnsi="Arial" w:cs="Arial"/>
              </w:rPr>
              <w:t>ium both up high single digits</w:t>
            </w:r>
            <w:r w:rsidR="002B2FAB">
              <w:rPr>
                <w:rFonts w:ascii="Arial" w:hAnsi="Arial" w:cs="Arial"/>
              </w:rPr>
              <w:t>, Turkey up double digits</w:t>
            </w:r>
            <w:r w:rsidR="009D3B30">
              <w:rPr>
                <w:rFonts w:ascii="Arial" w:hAnsi="Arial" w:cs="Arial"/>
              </w:rPr>
              <w:t>)</w:t>
            </w:r>
            <w:r w:rsidR="006D12D7">
              <w:rPr>
                <w:rFonts w:ascii="Arial" w:hAnsi="Arial" w:cs="Arial"/>
              </w:rPr>
              <w:t xml:space="preserve"> offset partly by an adverse trade fair calendar in </w:t>
            </w:r>
            <w:r w:rsidR="006D12D7" w:rsidRPr="00A22659">
              <w:rPr>
                <w:rFonts w:ascii="Arial" w:hAnsi="Arial" w:cs="Arial"/>
              </w:rPr>
              <w:t xml:space="preserve">Germany </w:t>
            </w:r>
            <w:r w:rsidR="006D12D7">
              <w:rPr>
                <w:rFonts w:ascii="Arial" w:hAnsi="Arial" w:cs="Arial"/>
              </w:rPr>
              <w:t>(down 2</w:t>
            </w:r>
            <w:r w:rsidR="006D12D7" w:rsidRPr="00A22659">
              <w:rPr>
                <w:rFonts w:ascii="Arial" w:hAnsi="Arial" w:cs="Arial"/>
              </w:rPr>
              <w:t>%</w:t>
            </w:r>
            <w:r w:rsidR="006D12D7">
              <w:rPr>
                <w:rFonts w:ascii="Arial" w:hAnsi="Arial" w:cs="Arial"/>
              </w:rPr>
              <w:t xml:space="preserve">). </w:t>
            </w:r>
            <w:r w:rsidR="00BC6725">
              <w:rPr>
                <w:rFonts w:ascii="Arial" w:hAnsi="Arial" w:cs="Arial"/>
              </w:rPr>
              <w:t xml:space="preserve"> </w:t>
            </w:r>
            <w:r w:rsidR="007433FA" w:rsidRPr="00F636DD">
              <w:rPr>
                <w:rFonts w:ascii="Arial" w:hAnsi="Arial" w:cs="Arial"/>
              </w:rPr>
              <w:t xml:space="preserve">In the UK, </w:t>
            </w:r>
            <w:r w:rsidR="00F636DD" w:rsidRPr="00F636DD">
              <w:rPr>
                <w:rFonts w:ascii="Arial" w:hAnsi="Arial" w:cs="Arial"/>
              </w:rPr>
              <w:t>RevPAR was down 1%</w:t>
            </w:r>
            <w:r w:rsidR="00F636DD">
              <w:rPr>
                <w:rFonts w:ascii="Arial" w:hAnsi="Arial" w:cs="Arial"/>
              </w:rPr>
              <w:t xml:space="preserve"> </w:t>
            </w:r>
            <w:r w:rsidR="00252BB4">
              <w:rPr>
                <w:rFonts w:ascii="Arial" w:hAnsi="Arial" w:cs="Arial"/>
              </w:rPr>
              <w:t>(</w:t>
            </w:r>
            <w:r w:rsidR="00252BB4" w:rsidRPr="00A22659">
              <w:rPr>
                <w:rFonts w:ascii="Arial" w:hAnsi="Arial" w:cs="Arial"/>
              </w:rPr>
              <w:t>London</w:t>
            </w:r>
            <w:r w:rsidR="00252BB4">
              <w:rPr>
                <w:rFonts w:ascii="Arial" w:hAnsi="Arial" w:cs="Arial"/>
              </w:rPr>
              <w:t xml:space="preserve"> down 3</w:t>
            </w:r>
            <w:r w:rsidR="00252BB4" w:rsidRPr="00A22659">
              <w:rPr>
                <w:rFonts w:ascii="Arial" w:hAnsi="Arial" w:cs="Arial"/>
              </w:rPr>
              <w:t xml:space="preserve">%, provinces </w:t>
            </w:r>
            <w:r w:rsidR="00252BB4">
              <w:rPr>
                <w:rFonts w:ascii="Arial" w:hAnsi="Arial" w:cs="Arial"/>
              </w:rPr>
              <w:t xml:space="preserve">up 1%) </w:t>
            </w:r>
            <w:r w:rsidR="00F636DD">
              <w:rPr>
                <w:rFonts w:ascii="Arial" w:hAnsi="Arial" w:cs="Arial"/>
              </w:rPr>
              <w:t>due to</w:t>
            </w:r>
            <w:r w:rsidR="00F636DD" w:rsidRPr="00F636DD">
              <w:rPr>
                <w:rFonts w:ascii="Arial" w:hAnsi="Arial" w:cs="Arial"/>
              </w:rPr>
              <w:t xml:space="preserve"> </w:t>
            </w:r>
            <w:r w:rsidR="00F636DD">
              <w:rPr>
                <w:rFonts w:ascii="Arial" w:hAnsi="Arial" w:cs="Arial"/>
              </w:rPr>
              <w:t>strong prior year comparables</w:t>
            </w:r>
            <w:r w:rsidR="00F636DD" w:rsidRPr="00F636DD">
              <w:rPr>
                <w:rFonts w:ascii="Arial" w:hAnsi="Arial" w:cs="Arial"/>
              </w:rPr>
              <w:t xml:space="preserve"> </w:t>
            </w:r>
            <w:r w:rsidR="00E43251">
              <w:rPr>
                <w:rFonts w:ascii="Arial" w:hAnsi="Arial" w:cs="Arial"/>
              </w:rPr>
              <w:t xml:space="preserve">and </w:t>
            </w:r>
            <w:r w:rsidR="000772A8">
              <w:rPr>
                <w:rFonts w:ascii="Arial" w:hAnsi="Arial" w:cs="Arial"/>
              </w:rPr>
              <w:t xml:space="preserve">the </w:t>
            </w:r>
            <w:r w:rsidR="00E43251">
              <w:rPr>
                <w:rFonts w:ascii="Arial" w:hAnsi="Arial" w:cs="Arial"/>
              </w:rPr>
              <w:t>shift in the timing of Easter</w:t>
            </w:r>
            <w:r w:rsidR="00F636DD">
              <w:rPr>
                <w:rFonts w:ascii="Arial" w:hAnsi="Arial" w:cs="Arial"/>
              </w:rPr>
              <w:t>.</w:t>
            </w:r>
            <w:r w:rsidR="00E337EE">
              <w:rPr>
                <w:rFonts w:ascii="Arial" w:hAnsi="Arial" w:cs="Arial"/>
              </w:rPr>
              <w:t xml:space="preserve"> </w:t>
            </w:r>
            <w:r w:rsidR="00F636DD">
              <w:rPr>
                <w:rFonts w:ascii="Arial" w:hAnsi="Arial" w:cs="Arial"/>
              </w:rPr>
              <w:t xml:space="preserve"> </w:t>
            </w:r>
            <w:r w:rsidR="00252BB4">
              <w:rPr>
                <w:rFonts w:ascii="Arial" w:hAnsi="Arial" w:cs="Arial"/>
              </w:rPr>
              <w:t xml:space="preserve">Elsewhere, </w:t>
            </w:r>
            <w:r w:rsidR="00F636DD" w:rsidRPr="009215CB">
              <w:rPr>
                <w:rFonts w:ascii="Arial" w:hAnsi="Arial" w:cs="Arial"/>
              </w:rPr>
              <w:t>Middle East</w:t>
            </w:r>
            <w:r w:rsidR="00F636DD">
              <w:rPr>
                <w:rFonts w:ascii="Arial" w:hAnsi="Arial" w:cs="Arial"/>
              </w:rPr>
              <w:t xml:space="preserve"> RevPAR was down </w:t>
            </w:r>
            <w:r w:rsidR="00B81C3E">
              <w:rPr>
                <w:rFonts w:ascii="Arial" w:hAnsi="Arial" w:cs="Arial"/>
              </w:rPr>
              <w:t>6</w:t>
            </w:r>
            <w:r w:rsidR="008E64A6">
              <w:rPr>
                <w:rFonts w:ascii="Arial" w:hAnsi="Arial" w:cs="Arial"/>
              </w:rPr>
              <w:t>%</w:t>
            </w:r>
            <w:r w:rsidR="00F636DD" w:rsidRPr="009215CB">
              <w:rPr>
                <w:rFonts w:ascii="Arial" w:hAnsi="Arial" w:cs="Arial"/>
              </w:rPr>
              <w:t xml:space="preserve"> </w:t>
            </w:r>
            <w:r w:rsidR="00252BB4">
              <w:rPr>
                <w:rFonts w:ascii="Arial" w:hAnsi="Arial" w:cs="Arial"/>
              </w:rPr>
              <w:t xml:space="preserve">due to </w:t>
            </w:r>
            <w:r w:rsidR="00911589">
              <w:rPr>
                <w:rFonts w:ascii="Arial" w:hAnsi="Arial" w:cs="Arial"/>
              </w:rPr>
              <w:t>high supply growth</w:t>
            </w:r>
            <w:r w:rsidR="00B81C3E">
              <w:rPr>
                <w:rFonts w:ascii="Arial" w:hAnsi="Arial" w:cs="Arial"/>
                <w:color w:val="000000" w:themeColor="text1"/>
              </w:rPr>
              <w:t xml:space="preserve">, Australia was up 4% </w:t>
            </w:r>
            <w:r w:rsidR="00BC6725">
              <w:rPr>
                <w:rFonts w:ascii="Arial" w:hAnsi="Arial" w:cs="Arial"/>
                <w:color w:val="000000" w:themeColor="text1"/>
              </w:rPr>
              <w:t xml:space="preserve">with </w:t>
            </w:r>
            <w:r w:rsidR="00B81C3E">
              <w:rPr>
                <w:rFonts w:ascii="Arial" w:hAnsi="Arial" w:cs="Arial"/>
                <w:color w:val="000000" w:themeColor="text1"/>
              </w:rPr>
              <w:t xml:space="preserve">strong corporate demand in key cities, whilst Japan, up 3%, benefitted from strong </w:t>
            </w:r>
            <w:r w:rsidR="007929E1">
              <w:rPr>
                <w:rFonts w:ascii="Arial" w:hAnsi="Arial" w:cs="Arial"/>
                <w:color w:val="000000" w:themeColor="text1"/>
              </w:rPr>
              <w:t xml:space="preserve">transient demand related to the </w:t>
            </w:r>
            <w:r w:rsidR="00B81C3E">
              <w:rPr>
                <w:rFonts w:ascii="Arial" w:hAnsi="Arial" w:cs="Arial"/>
                <w:color w:val="000000" w:themeColor="text1"/>
              </w:rPr>
              <w:t xml:space="preserve">Chinese New Year.  </w:t>
            </w:r>
          </w:p>
          <w:p w14:paraId="305EE148" w14:textId="0A927446" w:rsidR="003B7A7F" w:rsidRPr="007434A8" w:rsidRDefault="0073637C" w:rsidP="008143A3">
            <w:pPr>
              <w:spacing w:before="60" w:after="40"/>
              <w:jc w:val="both"/>
              <w:rPr>
                <w:rFonts w:ascii="Arial" w:hAnsi="Arial" w:cs="Arial"/>
                <w:color w:val="FF0000"/>
              </w:rPr>
            </w:pPr>
            <w:r>
              <w:rPr>
                <w:rFonts w:ascii="Arial" w:hAnsi="Arial" w:cs="Arial"/>
                <w:color w:val="000000" w:themeColor="text1"/>
              </w:rPr>
              <w:t>In February</w:t>
            </w:r>
            <w:r w:rsidR="008A29DC">
              <w:rPr>
                <w:rFonts w:ascii="Arial" w:hAnsi="Arial" w:cs="Arial"/>
                <w:color w:val="000000" w:themeColor="text1"/>
              </w:rPr>
              <w:t>,</w:t>
            </w:r>
            <w:r w:rsidR="003B7A7F">
              <w:rPr>
                <w:rFonts w:ascii="Arial" w:hAnsi="Arial" w:cs="Arial"/>
                <w:color w:val="000000" w:themeColor="text1"/>
              </w:rPr>
              <w:t xml:space="preserve"> IHG received liquidated damages </w:t>
            </w:r>
            <w:r w:rsidR="00755AF1">
              <w:rPr>
                <w:rFonts w:ascii="Arial" w:hAnsi="Arial" w:cs="Arial"/>
                <w:color w:val="000000" w:themeColor="text1"/>
              </w:rPr>
              <w:t>totalling $</w:t>
            </w:r>
            <w:r>
              <w:rPr>
                <w:rFonts w:ascii="Arial" w:hAnsi="Arial" w:cs="Arial"/>
                <w:color w:val="000000" w:themeColor="text1"/>
              </w:rPr>
              <w:t xml:space="preserve">15m </w:t>
            </w:r>
            <w:r w:rsidR="00762FB1">
              <w:rPr>
                <w:rFonts w:ascii="Arial" w:hAnsi="Arial" w:cs="Arial"/>
                <w:color w:val="000000" w:themeColor="text1"/>
              </w:rPr>
              <w:t xml:space="preserve">relating </w:t>
            </w:r>
            <w:r w:rsidR="003B7A7F">
              <w:rPr>
                <w:rFonts w:ascii="Arial" w:hAnsi="Arial" w:cs="Arial"/>
                <w:color w:val="000000" w:themeColor="text1"/>
              </w:rPr>
              <w:t xml:space="preserve">to the termination of a portfolio of </w:t>
            </w:r>
            <w:r w:rsidR="008A29DC">
              <w:rPr>
                <w:rFonts w:ascii="Arial" w:hAnsi="Arial" w:cs="Arial"/>
                <w:color w:val="000000" w:themeColor="text1"/>
              </w:rPr>
              <w:t>13</w:t>
            </w:r>
            <w:r w:rsidR="003B7A7F">
              <w:rPr>
                <w:rFonts w:ascii="Arial" w:hAnsi="Arial" w:cs="Arial"/>
                <w:color w:val="000000" w:themeColor="text1"/>
              </w:rPr>
              <w:t xml:space="preserve"> </w:t>
            </w:r>
            <w:r w:rsidR="008A29DC">
              <w:rPr>
                <w:rFonts w:ascii="Arial" w:hAnsi="Arial" w:cs="Arial"/>
                <w:color w:val="000000" w:themeColor="text1"/>
              </w:rPr>
              <w:t xml:space="preserve">open </w:t>
            </w:r>
            <w:r w:rsidR="00802E6B">
              <w:rPr>
                <w:rFonts w:ascii="Arial" w:hAnsi="Arial" w:cs="Arial"/>
                <w:color w:val="000000" w:themeColor="text1"/>
              </w:rPr>
              <w:t xml:space="preserve">hotels </w:t>
            </w:r>
            <w:r w:rsidR="00252BB4">
              <w:rPr>
                <w:rFonts w:ascii="Arial" w:hAnsi="Arial" w:cs="Arial"/>
                <w:color w:val="000000" w:themeColor="text1"/>
              </w:rPr>
              <w:t>(</w:t>
            </w:r>
            <w:r w:rsidR="00657A55">
              <w:rPr>
                <w:rFonts w:ascii="Arial" w:hAnsi="Arial" w:cs="Arial"/>
                <w:color w:val="000000" w:themeColor="text1"/>
              </w:rPr>
              <w:t>2</w:t>
            </w:r>
            <w:r w:rsidR="00252BB4">
              <w:rPr>
                <w:rFonts w:ascii="Arial" w:hAnsi="Arial" w:cs="Arial"/>
                <w:color w:val="000000" w:themeColor="text1"/>
              </w:rPr>
              <w:t xml:space="preserve">k rooms) </w:t>
            </w:r>
            <w:r w:rsidR="008A29DC">
              <w:rPr>
                <w:rFonts w:ascii="Arial" w:hAnsi="Arial" w:cs="Arial"/>
                <w:color w:val="000000" w:themeColor="text1"/>
              </w:rPr>
              <w:t xml:space="preserve">and 6 pipeline </w:t>
            </w:r>
            <w:r w:rsidR="00802E6B">
              <w:rPr>
                <w:rFonts w:ascii="Arial" w:hAnsi="Arial" w:cs="Arial"/>
                <w:color w:val="000000" w:themeColor="text1"/>
              </w:rPr>
              <w:t xml:space="preserve">hotels </w:t>
            </w:r>
            <w:r w:rsidR="00252BB4">
              <w:rPr>
                <w:rFonts w:ascii="Arial" w:hAnsi="Arial" w:cs="Arial"/>
                <w:color w:val="000000" w:themeColor="text1"/>
              </w:rPr>
              <w:t>(</w:t>
            </w:r>
            <w:r w:rsidR="005816B1">
              <w:rPr>
                <w:rFonts w:ascii="Arial" w:hAnsi="Arial" w:cs="Arial"/>
                <w:color w:val="000000" w:themeColor="text1"/>
              </w:rPr>
              <w:t>1</w:t>
            </w:r>
            <w:r w:rsidR="00252BB4">
              <w:rPr>
                <w:rFonts w:ascii="Arial" w:hAnsi="Arial" w:cs="Arial"/>
                <w:color w:val="000000" w:themeColor="text1"/>
              </w:rPr>
              <w:t xml:space="preserve">k rooms) </w:t>
            </w:r>
            <w:r w:rsidR="003B7A7F">
              <w:rPr>
                <w:rFonts w:ascii="Arial" w:hAnsi="Arial" w:cs="Arial"/>
                <w:color w:val="000000" w:themeColor="text1"/>
              </w:rPr>
              <w:t>in Germany</w:t>
            </w:r>
            <w:r w:rsidR="00313B5F">
              <w:rPr>
                <w:rFonts w:ascii="Arial" w:hAnsi="Arial" w:cs="Arial"/>
                <w:color w:val="000000" w:themeColor="text1"/>
              </w:rPr>
              <w:t xml:space="preserve">, which will remain in IHG’s system until 2020. </w:t>
            </w:r>
            <w:r>
              <w:rPr>
                <w:rFonts w:ascii="Arial" w:hAnsi="Arial" w:cs="Arial"/>
                <w:color w:val="000000" w:themeColor="text1"/>
              </w:rPr>
              <w:t xml:space="preserve">Under IFRS 15, the </w:t>
            </w:r>
            <w:r w:rsidR="00313B5F">
              <w:rPr>
                <w:rFonts w:ascii="Arial" w:hAnsi="Arial" w:cs="Arial"/>
                <w:color w:val="000000" w:themeColor="text1"/>
              </w:rPr>
              <w:t>$15m</w:t>
            </w:r>
            <w:r>
              <w:rPr>
                <w:rFonts w:ascii="Arial" w:hAnsi="Arial" w:cs="Arial"/>
                <w:color w:val="000000" w:themeColor="text1"/>
              </w:rPr>
              <w:t xml:space="preserve"> will be recognised over th</w:t>
            </w:r>
            <w:r w:rsidR="006621BC">
              <w:rPr>
                <w:rFonts w:ascii="Arial" w:hAnsi="Arial" w:cs="Arial"/>
                <w:color w:val="000000" w:themeColor="text1"/>
              </w:rPr>
              <w:t>e</w:t>
            </w:r>
            <w:r w:rsidR="002F723D">
              <w:rPr>
                <w:rFonts w:ascii="Arial" w:hAnsi="Arial" w:cs="Arial"/>
                <w:color w:val="000000" w:themeColor="text1"/>
              </w:rPr>
              <w:t xml:space="preserve"> </w:t>
            </w:r>
            <w:r w:rsidR="00313B5F">
              <w:rPr>
                <w:rFonts w:ascii="Arial" w:hAnsi="Arial" w:cs="Arial"/>
                <w:color w:val="000000" w:themeColor="text1"/>
              </w:rPr>
              <w:t>period</w:t>
            </w:r>
            <w:r w:rsidR="00C926C8">
              <w:rPr>
                <w:rFonts w:ascii="Arial" w:hAnsi="Arial" w:cs="Arial"/>
                <w:color w:val="000000" w:themeColor="text1"/>
              </w:rPr>
              <w:t xml:space="preserve"> </w:t>
            </w:r>
            <w:r w:rsidR="006621BC">
              <w:rPr>
                <w:rFonts w:ascii="Arial" w:hAnsi="Arial" w:cs="Arial"/>
                <w:color w:val="000000" w:themeColor="text1"/>
              </w:rPr>
              <w:t xml:space="preserve">until they exit </w:t>
            </w:r>
            <w:r w:rsidR="00855F9F">
              <w:rPr>
                <w:rFonts w:ascii="Arial" w:hAnsi="Arial" w:cs="Arial"/>
                <w:color w:val="000000" w:themeColor="text1"/>
              </w:rPr>
              <w:t>(</w:t>
            </w:r>
            <w:r w:rsidR="00C926C8">
              <w:rPr>
                <w:rFonts w:ascii="Arial" w:hAnsi="Arial" w:cs="Arial"/>
                <w:color w:val="000000" w:themeColor="text1"/>
              </w:rPr>
              <w:t xml:space="preserve">H1 </w:t>
            </w:r>
            <w:r w:rsidR="00855F9F">
              <w:rPr>
                <w:rFonts w:ascii="Arial" w:hAnsi="Arial" w:cs="Arial"/>
                <w:color w:val="000000" w:themeColor="text1"/>
              </w:rPr>
              <w:t>20</w:t>
            </w:r>
            <w:r w:rsidR="00C926C8">
              <w:rPr>
                <w:rFonts w:ascii="Arial" w:hAnsi="Arial" w:cs="Arial"/>
                <w:color w:val="000000" w:themeColor="text1"/>
              </w:rPr>
              <w:t>18</w:t>
            </w:r>
            <w:r w:rsidR="00855F9F">
              <w:rPr>
                <w:rFonts w:ascii="Arial" w:hAnsi="Arial" w:cs="Arial"/>
                <w:color w:val="000000" w:themeColor="text1"/>
              </w:rPr>
              <w:t>:</w:t>
            </w:r>
            <w:r w:rsidR="00C926C8">
              <w:rPr>
                <w:rFonts w:ascii="Arial" w:hAnsi="Arial" w:cs="Arial"/>
                <w:color w:val="000000" w:themeColor="text1"/>
              </w:rPr>
              <w:t xml:space="preserve"> $</w:t>
            </w:r>
            <w:r w:rsidR="00855F9F">
              <w:rPr>
                <w:rFonts w:ascii="Arial" w:hAnsi="Arial" w:cs="Arial"/>
                <w:color w:val="000000" w:themeColor="text1"/>
              </w:rPr>
              <w:t>2.8m</w:t>
            </w:r>
            <w:r w:rsidR="00C926C8">
              <w:rPr>
                <w:rFonts w:ascii="Arial" w:hAnsi="Arial" w:cs="Arial"/>
                <w:color w:val="000000" w:themeColor="text1"/>
              </w:rPr>
              <w:t xml:space="preserve">, FY </w:t>
            </w:r>
            <w:r w:rsidR="00855F9F">
              <w:rPr>
                <w:rFonts w:ascii="Arial" w:hAnsi="Arial" w:cs="Arial"/>
                <w:color w:val="000000" w:themeColor="text1"/>
              </w:rPr>
              <w:t>20</w:t>
            </w:r>
            <w:r w:rsidR="00C926C8">
              <w:rPr>
                <w:rFonts w:ascii="Arial" w:hAnsi="Arial" w:cs="Arial"/>
                <w:color w:val="000000" w:themeColor="text1"/>
              </w:rPr>
              <w:t>18</w:t>
            </w:r>
            <w:r w:rsidR="00855F9F">
              <w:rPr>
                <w:rFonts w:ascii="Arial" w:hAnsi="Arial" w:cs="Arial"/>
                <w:color w:val="000000" w:themeColor="text1"/>
              </w:rPr>
              <w:t>:</w:t>
            </w:r>
            <w:r w:rsidR="00C926C8">
              <w:rPr>
                <w:rFonts w:ascii="Arial" w:hAnsi="Arial" w:cs="Arial"/>
                <w:color w:val="000000" w:themeColor="text1"/>
              </w:rPr>
              <w:t xml:space="preserve"> $</w:t>
            </w:r>
            <w:r w:rsidR="00855F9F">
              <w:rPr>
                <w:rFonts w:ascii="Arial" w:hAnsi="Arial" w:cs="Arial"/>
                <w:color w:val="000000" w:themeColor="text1"/>
              </w:rPr>
              <w:t>6.7m</w:t>
            </w:r>
            <w:r w:rsidR="00C926C8">
              <w:rPr>
                <w:rFonts w:ascii="Arial" w:hAnsi="Arial" w:cs="Arial"/>
                <w:color w:val="000000" w:themeColor="text1"/>
              </w:rPr>
              <w:t xml:space="preserve">, FY </w:t>
            </w:r>
            <w:r w:rsidR="00855F9F">
              <w:rPr>
                <w:rFonts w:ascii="Arial" w:hAnsi="Arial" w:cs="Arial"/>
                <w:color w:val="000000" w:themeColor="text1"/>
              </w:rPr>
              <w:t>20</w:t>
            </w:r>
            <w:r w:rsidR="00C926C8">
              <w:rPr>
                <w:rFonts w:ascii="Arial" w:hAnsi="Arial" w:cs="Arial"/>
                <w:color w:val="000000" w:themeColor="text1"/>
              </w:rPr>
              <w:t>19</w:t>
            </w:r>
            <w:r w:rsidR="00855F9F">
              <w:rPr>
                <w:rFonts w:ascii="Arial" w:hAnsi="Arial" w:cs="Arial"/>
                <w:color w:val="000000" w:themeColor="text1"/>
              </w:rPr>
              <w:t>:</w:t>
            </w:r>
            <w:r w:rsidR="00C926C8">
              <w:rPr>
                <w:rFonts w:ascii="Arial" w:hAnsi="Arial" w:cs="Arial"/>
                <w:color w:val="000000" w:themeColor="text1"/>
              </w:rPr>
              <w:t xml:space="preserve"> $</w:t>
            </w:r>
            <w:r w:rsidR="00855F9F">
              <w:rPr>
                <w:rFonts w:ascii="Arial" w:hAnsi="Arial" w:cs="Arial"/>
                <w:color w:val="000000" w:themeColor="text1"/>
              </w:rPr>
              <w:t>7.7m, H1 2020: $1.0m)</w:t>
            </w:r>
            <w:r w:rsidR="00313B5F">
              <w:rPr>
                <w:rFonts w:ascii="Arial" w:hAnsi="Arial" w:cs="Arial"/>
                <w:color w:val="000000" w:themeColor="text1"/>
              </w:rPr>
              <w:t>.</w:t>
            </w:r>
          </w:p>
        </w:tc>
      </w:tr>
      <w:tr w:rsidR="007434A8" w:rsidRPr="007434A8" w14:paraId="7DB3BFB3" w14:textId="77777777" w:rsidTr="00324D79">
        <w:tblPrEx>
          <w:tblBorders>
            <w:insideH w:val="none" w:sz="0" w:space="0" w:color="auto"/>
            <w:insideV w:val="none" w:sz="0" w:space="0" w:color="auto"/>
          </w:tblBorders>
        </w:tblPrEx>
        <w:trPr>
          <w:gridBefore w:val="1"/>
          <w:wBefore w:w="142" w:type="dxa"/>
        </w:trPr>
        <w:tc>
          <w:tcPr>
            <w:tcW w:w="10348" w:type="dxa"/>
            <w:tcBorders>
              <w:top w:val="nil"/>
              <w:left w:val="nil"/>
              <w:bottom w:val="nil"/>
              <w:right w:val="nil"/>
            </w:tcBorders>
          </w:tcPr>
          <w:p w14:paraId="7A2A340C" w14:textId="20FD67C2" w:rsidR="004F542D" w:rsidRPr="009215CB" w:rsidRDefault="004F542D">
            <w:pPr>
              <w:spacing w:before="60" w:after="20"/>
              <w:jc w:val="both"/>
              <w:rPr>
                <w:rFonts w:ascii="Arial" w:hAnsi="Arial" w:cs="Arial"/>
                <w:b/>
              </w:rPr>
            </w:pPr>
            <w:r w:rsidRPr="003B4FF5">
              <w:rPr>
                <w:rFonts w:ascii="Arial" w:hAnsi="Arial" w:cs="Arial"/>
                <w:b/>
              </w:rPr>
              <w:t xml:space="preserve">Greater China </w:t>
            </w:r>
          </w:p>
          <w:p w14:paraId="75DA0357" w14:textId="2CA6B3BA" w:rsidR="004F542D" w:rsidRPr="008143A3" w:rsidRDefault="004F542D" w:rsidP="008143A3">
            <w:pPr>
              <w:spacing w:before="60" w:after="120"/>
              <w:jc w:val="both"/>
              <w:rPr>
                <w:rFonts w:ascii="Arial" w:hAnsi="Arial" w:cs="Arial"/>
              </w:rPr>
            </w:pPr>
            <w:r w:rsidRPr="009215CB">
              <w:rPr>
                <w:rFonts w:ascii="Arial" w:hAnsi="Arial" w:cs="Arial"/>
              </w:rPr>
              <w:t xml:space="preserve">RevPAR was up </w:t>
            </w:r>
            <w:r w:rsidR="00C40CFB">
              <w:rPr>
                <w:rFonts w:ascii="Arial" w:hAnsi="Arial" w:cs="Arial"/>
              </w:rPr>
              <w:t>11.0</w:t>
            </w:r>
            <w:r w:rsidRPr="009215CB">
              <w:rPr>
                <w:rFonts w:ascii="Arial" w:hAnsi="Arial" w:cs="Arial"/>
              </w:rPr>
              <w:t>%</w:t>
            </w:r>
            <w:r w:rsidR="00B81C3E">
              <w:rPr>
                <w:rFonts w:ascii="Arial" w:hAnsi="Arial" w:cs="Arial"/>
              </w:rPr>
              <w:t xml:space="preserve"> in </w:t>
            </w:r>
            <w:r w:rsidR="00BD41D7">
              <w:rPr>
                <w:rFonts w:ascii="Arial" w:hAnsi="Arial" w:cs="Arial"/>
              </w:rPr>
              <w:t>Q1</w:t>
            </w:r>
            <w:r w:rsidR="00B81C3E">
              <w:rPr>
                <w:rFonts w:ascii="Arial" w:hAnsi="Arial" w:cs="Arial"/>
              </w:rPr>
              <w:t>, with 10</w:t>
            </w:r>
            <w:r w:rsidR="003B4FF5" w:rsidRPr="009215CB">
              <w:rPr>
                <w:rFonts w:ascii="Arial" w:hAnsi="Arial" w:cs="Arial"/>
              </w:rPr>
              <w:t xml:space="preserve">% growth in </w:t>
            </w:r>
            <w:r w:rsidRPr="009215CB">
              <w:rPr>
                <w:rFonts w:ascii="Arial" w:hAnsi="Arial" w:cs="Arial"/>
              </w:rPr>
              <w:t>mainland China</w:t>
            </w:r>
            <w:r w:rsidR="00D713E0">
              <w:rPr>
                <w:rFonts w:ascii="Arial" w:hAnsi="Arial" w:cs="Arial"/>
              </w:rPr>
              <w:t>,</w:t>
            </w:r>
            <w:r w:rsidRPr="009215CB">
              <w:rPr>
                <w:rFonts w:ascii="Arial" w:hAnsi="Arial" w:cs="Arial"/>
              </w:rPr>
              <w:t xml:space="preserve"> </w:t>
            </w:r>
            <w:r w:rsidR="00D713E0">
              <w:rPr>
                <w:rFonts w:ascii="Arial" w:hAnsi="Arial" w:cs="Arial"/>
              </w:rPr>
              <w:t xml:space="preserve">which benefitted from </w:t>
            </w:r>
            <w:r w:rsidR="00762FB1">
              <w:rPr>
                <w:rFonts w:ascii="Arial" w:hAnsi="Arial" w:cs="Arial"/>
              </w:rPr>
              <w:t>an extended</w:t>
            </w:r>
            <w:r w:rsidR="00F65E85">
              <w:rPr>
                <w:rFonts w:ascii="Arial" w:hAnsi="Arial" w:cs="Arial"/>
              </w:rPr>
              <w:t xml:space="preserve"> </w:t>
            </w:r>
            <w:r w:rsidR="008E64A6">
              <w:rPr>
                <w:rFonts w:ascii="Arial" w:hAnsi="Arial" w:cs="Arial"/>
              </w:rPr>
              <w:t xml:space="preserve">build </w:t>
            </w:r>
            <w:r w:rsidR="00F65E85">
              <w:rPr>
                <w:rFonts w:ascii="Arial" w:hAnsi="Arial" w:cs="Arial"/>
              </w:rPr>
              <w:t xml:space="preserve">up to </w:t>
            </w:r>
            <w:r w:rsidR="00D713E0">
              <w:rPr>
                <w:rFonts w:ascii="Arial" w:hAnsi="Arial" w:cs="Arial"/>
              </w:rPr>
              <w:t>Chinese New Year</w:t>
            </w:r>
            <w:r w:rsidR="002A6FC6">
              <w:rPr>
                <w:rFonts w:ascii="Arial" w:hAnsi="Arial" w:cs="Arial"/>
              </w:rPr>
              <w:t xml:space="preserve"> in February</w:t>
            </w:r>
            <w:r w:rsidR="00D713E0">
              <w:rPr>
                <w:rFonts w:ascii="Arial" w:hAnsi="Arial" w:cs="Arial"/>
              </w:rPr>
              <w:t xml:space="preserve">. </w:t>
            </w:r>
            <w:r w:rsidR="002414EF">
              <w:rPr>
                <w:rFonts w:ascii="Arial" w:hAnsi="Arial" w:cs="Arial"/>
              </w:rPr>
              <w:t xml:space="preserve"> </w:t>
            </w:r>
            <w:r w:rsidR="00762FB1">
              <w:rPr>
                <w:rFonts w:ascii="Arial" w:hAnsi="Arial" w:cs="Arial"/>
              </w:rPr>
              <w:t xml:space="preserve">Double digit RevPAR growth in </w:t>
            </w:r>
            <w:r w:rsidR="007D7307">
              <w:rPr>
                <w:rFonts w:ascii="Arial" w:hAnsi="Arial" w:cs="Arial"/>
              </w:rPr>
              <w:t>t</w:t>
            </w:r>
            <w:r w:rsidRPr="009215CB">
              <w:rPr>
                <w:rFonts w:ascii="Arial" w:hAnsi="Arial" w:cs="Arial"/>
              </w:rPr>
              <w:t xml:space="preserve">ier </w:t>
            </w:r>
            <w:r w:rsidR="00314B08">
              <w:rPr>
                <w:rFonts w:ascii="Arial" w:hAnsi="Arial" w:cs="Arial"/>
              </w:rPr>
              <w:t xml:space="preserve">1 and tier 2 </w:t>
            </w:r>
            <w:r w:rsidR="001B1404">
              <w:rPr>
                <w:rFonts w:ascii="Arial" w:hAnsi="Arial" w:cs="Arial"/>
              </w:rPr>
              <w:t>cities</w:t>
            </w:r>
            <w:r w:rsidR="00D713E0">
              <w:rPr>
                <w:rFonts w:ascii="Arial" w:hAnsi="Arial" w:cs="Arial"/>
              </w:rPr>
              <w:t xml:space="preserve"> </w:t>
            </w:r>
            <w:r w:rsidR="00762FB1">
              <w:rPr>
                <w:rFonts w:ascii="Arial" w:hAnsi="Arial" w:cs="Arial"/>
              </w:rPr>
              <w:t xml:space="preserve">was driven by </w:t>
            </w:r>
            <w:r w:rsidR="00F8274E">
              <w:rPr>
                <w:rFonts w:ascii="Arial" w:hAnsi="Arial" w:cs="Arial"/>
              </w:rPr>
              <w:t xml:space="preserve">strong </w:t>
            </w:r>
            <w:r w:rsidR="00D713E0">
              <w:rPr>
                <w:rFonts w:ascii="Arial" w:hAnsi="Arial" w:cs="Arial"/>
              </w:rPr>
              <w:t xml:space="preserve">transient, </w:t>
            </w:r>
            <w:r w:rsidR="00F8274E">
              <w:rPr>
                <w:rFonts w:ascii="Arial" w:hAnsi="Arial" w:cs="Arial"/>
              </w:rPr>
              <w:t>corporate and meetings</w:t>
            </w:r>
            <w:r w:rsidR="00314B08">
              <w:rPr>
                <w:rFonts w:ascii="Arial" w:hAnsi="Arial" w:cs="Arial"/>
              </w:rPr>
              <w:t xml:space="preserve"> demand</w:t>
            </w:r>
            <w:r w:rsidR="00762FB1">
              <w:rPr>
                <w:rFonts w:ascii="Arial" w:hAnsi="Arial" w:cs="Arial"/>
              </w:rPr>
              <w:t xml:space="preserve">.  Tier </w:t>
            </w:r>
            <w:r w:rsidR="00242F2A">
              <w:rPr>
                <w:rFonts w:ascii="Arial" w:hAnsi="Arial" w:cs="Arial"/>
              </w:rPr>
              <w:t>3</w:t>
            </w:r>
            <w:r w:rsidR="00762FB1">
              <w:rPr>
                <w:rFonts w:ascii="Arial" w:hAnsi="Arial" w:cs="Arial"/>
              </w:rPr>
              <w:t xml:space="preserve"> and </w:t>
            </w:r>
            <w:r w:rsidR="007D7307">
              <w:rPr>
                <w:rFonts w:ascii="Arial" w:hAnsi="Arial" w:cs="Arial"/>
              </w:rPr>
              <w:t>t</w:t>
            </w:r>
            <w:r w:rsidR="00762FB1">
              <w:rPr>
                <w:rFonts w:ascii="Arial" w:hAnsi="Arial" w:cs="Arial"/>
              </w:rPr>
              <w:t xml:space="preserve">ier </w:t>
            </w:r>
            <w:r w:rsidR="00242F2A">
              <w:rPr>
                <w:rFonts w:ascii="Arial" w:hAnsi="Arial" w:cs="Arial"/>
              </w:rPr>
              <w:t>4</w:t>
            </w:r>
            <w:r w:rsidR="00762FB1">
              <w:rPr>
                <w:rFonts w:ascii="Arial" w:hAnsi="Arial" w:cs="Arial"/>
              </w:rPr>
              <w:t xml:space="preserve"> cities continued to see mid-single digit growth, aided by the ongoing ramp-up of our hotels</w:t>
            </w:r>
            <w:r w:rsidR="00D713E0">
              <w:rPr>
                <w:rFonts w:ascii="Arial" w:hAnsi="Arial" w:cs="Arial"/>
              </w:rPr>
              <w:t xml:space="preserve">. </w:t>
            </w:r>
            <w:r w:rsidR="002414EF">
              <w:rPr>
                <w:rFonts w:ascii="Arial" w:hAnsi="Arial" w:cs="Arial"/>
              </w:rPr>
              <w:t xml:space="preserve"> </w:t>
            </w:r>
            <w:r w:rsidR="00755AF1">
              <w:rPr>
                <w:rFonts w:ascii="Arial" w:hAnsi="Arial" w:cs="Arial"/>
              </w:rPr>
              <w:t xml:space="preserve">In </w:t>
            </w:r>
            <w:r w:rsidR="003B4FF5" w:rsidRPr="009215CB">
              <w:rPr>
                <w:rFonts w:ascii="Arial" w:hAnsi="Arial" w:cs="Arial"/>
              </w:rPr>
              <w:t>Hong Kong</w:t>
            </w:r>
            <w:r w:rsidR="00755AF1">
              <w:rPr>
                <w:rFonts w:ascii="Arial" w:hAnsi="Arial" w:cs="Arial"/>
              </w:rPr>
              <w:t>,</w:t>
            </w:r>
            <w:r w:rsidR="003B4FF5" w:rsidRPr="009215CB">
              <w:rPr>
                <w:rFonts w:ascii="Arial" w:hAnsi="Arial" w:cs="Arial"/>
              </w:rPr>
              <w:t xml:space="preserve"> </w:t>
            </w:r>
            <w:r w:rsidR="001B1404">
              <w:rPr>
                <w:rFonts w:ascii="Arial" w:hAnsi="Arial" w:cs="Arial"/>
              </w:rPr>
              <w:t xml:space="preserve">RevPAR </w:t>
            </w:r>
            <w:r w:rsidR="00945A36">
              <w:rPr>
                <w:rFonts w:ascii="Arial" w:hAnsi="Arial" w:cs="Arial"/>
              </w:rPr>
              <w:t xml:space="preserve">was up </w:t>
            </w:r>
            <w:r w:rsidR="00B81C3E">
              <w:rPr>
                <w:rFonts w:ascii="Arial" w:hAnsi="Arial" w:cs="Arial"/>
              </w:rPr>
              <w:t>15</w:t>
            </w:r>
            <w:r w:rsidR="001B1404">
              <w:rPr>
                <w:rFonts w:ascii="Arial" w:hAnsi="Arial" w:cs="Arial"/>
              </w:rPr>
              <w:t xml:space="preserve">%, </w:t>
            </w:r>
            <w:r w:rsidR="008E64A6">
              <w:rPr>
                <w:rFonts w:ascii="Arial" w:hAnsi="Arial" w:cs="Arial"/>
              </w:rPr>
              <w:t>with</w:t>
            </w:r>
            <w:r w:rsidR="002A6FC6">
              <w:rPr>
                <w:rFonts w:ascii="Arial" w:hAnsi="Arial" w:cs="Arial"/>
              </w:rPr>
              <w:t xml:space="preserve"> mainland China inbound</w:t>
            </w:r>
            <w:r w:rsidR="008E64A6">
              <w:rPr>
                <w:rFonts w:ascii="Arial" w:hAnsi="Arial" w:cs="Arial"/>
              </w:rPr>
              <w:t xml:space="preserve"> demand </w:t>
            </w:r>
            <w:r w:rsidR="0098115D">
              <w:rPr>
                <w:rFonts w:ascii="Arial" w:hAnsi="Arial" w:cs="Arial"/>
              </w:rPr>
              <w:t>boosted by</w:t>
            </w:r>
            <w:r w:rsidR="00945A36">
              <w:rPr>
                <w:rFonts w:ascii="Arial" w:hAnsi="Arial" w:cs="Arial"/>
              </w:rPr>
              <w:t xml:space="preserve"> the </w:t>
            </w:r>
            <w:r w:rsidR="00715472">
              <w:rPr>
                <w:rFonts w:ascii="Arial" w:hAnsi="Arial" w:cs="Arial"/>
              </w:rPr>
              <w:t xml:space="preserve">strengthening of </w:t>
            </w:r>
            <w:r w:rsidR="00945A36">
              <w:rPr>
                <w:rFonts w:ascii="Arial" w:hAnsi="Arial" w:cs="Arial"/>
              </w:rPr>
              <w:t xml:space="preserve">the </w:t>
            </w:r>
            <w:r w:rsidR="00C40CFB">
              <w:rPr>
                <w:rFonts w:ascii="Arial" w:hAnsi="Arial" w:cs="Arial"/>
              </w:rPr>
              <w:t xml:space="preserve">Chinese </w:t>
            </w:r>
            <w:r w:rsidR="00BC6725">
              <w:rPr>
                <w:rFonts w:ascii="Arial" w:hAnsi="Arial" w:cs="Arial"/>
              </w:rPr>
              <w:t>renminbi</w:t>
            </w:r>
            <w:r w:rsidR="00715472">
              <w:rPr>
                <w:rFonts w:ascii="Arial" w:hAnsi="Arial" w:cs="Arial"/>
              </w:rPr>
              <w:t xml:space="preserve"> against the Hong Kong dollar</w:t>
            </w:r>
            <w:r w:rsidR="001B1404">
              <w:rPr>
                <w:rFonts w:ascii="Arial" w:hAnsi="Arial" w:cs="Arial"/>
              </w:rPr>
              <w:t xml:space="preserve">. </w:t>
            </w:r>
            <w:r w:rsidR="002414EF">
              <w:rPr>
                <w:rFonts w:ascii="Arial" w:hAnsi="Arial" w:cs="Arial"/>
              </w:rPr>
              <w:t xml:space="preserve"> </w:t>
            </w:r>
            <w:r w:rsidR="001B1404">
              <w:rPr>
                <w:rFonts w:ascii="Arial" w:hAnsi="Arial" w:cs="Arial"/>
              </w:rPr>
              <w:t xml:space="preserve"> </w:t>
            </w:r>
            <w:r w:rsidR="009215CB" w:rsidRPr="009215CB">
              <w:rPr>
                <w:rFonts w:ascii="Arial" w:hAnsi="Arial" w:cs="Arial"/>
              </w:rPr>
              <w:t xml:space="preserve">Macau </w:t>
            </w:r>
            <w:r w:rsidR="00BB1CF7" w:rsidRPr="009215CB">
              <w:rPr>
                <w:rFonts w:ascii="Arial" w:hAnsi="Arial" w:cs="Arial"/>
              </w:rPr>
              <w:t xml:space="preserve">RevPAR </w:t>
            </w:r>
            <w:r w:rsidR="00945A36">
              <w:rPr>
                <w:rFonts w:ascii="Arial" w:hAnsi="Arial" w:cs="Arial"/>
              </w:rPr>
              <w:t xml:space="preserve">was up </w:t>
            </w:r>
            <w:r w:rsidR="009215CB" w:rsidRPr="009215CB">
              <w:rPr>
                <w:rFonts w:ascii="Arial" w:hAnsi="Arial" w:cs="Arial"/>
              </w:rPr>
              <w:t>2</w:t>
            </w:r>
            <w:r w:rsidR="008A31D8">
              <w:rPr>
                <w:rFonts w:ascii="Arial" w:hAnsi="Arial" w:cs="Arial"/>
              </w:rPr>
              <w:t>5</w:t>
            </w:r>
            <w:r w:rsidR="00314B08">
              <w:rPr>
                <w:rFonts w:ascii="Arial" w:hAnsi="Arial" w:cs="Arial"/>
              </w:rPr>
              <w:t>%</w:t>
            </w:r>
            <w:r w:rsidR="006B1A0B">
              <w:rPr>
                <w:rFonts w:ascii="Arial" w:hAnsi="Arial" w:cs="Arial"/>
              </w:rPr>
              <w:t xml:space="preserve">, </w:t>
            </w:r>
            <w:r w:rsidR="007F6B08">
              <w:rPr>
                <w:rFonts w:ascii="Arial" w:hAnsi="Arial" w:cs="Arial"/>
              </w:rPr>
              <w:t xml:space="preserve">reflecting </w:t>
            </w:r>
            <w:r w:rsidR="008E64A6">
              <w:rPr>
                <w:rFonts w:ascii="Arial" w:hAnsi="Arial" w:cs="Arial"/>
              </w:rPr>
              <w:t xml:space="preserve">the </w:t>
            </w:r>
            <w:r w:rsidR="007F6B08">
              <w:rPr>
                <w:rFonts w:ascii="Arial" w:hAnsi="Arial" w:cs="Arial"/>
              </w:rPr>
              <w:t xml:space="preserve">ongoing </w:t>
            </w:r>
            <w:r w:rsidR="00945A36" w:rsidRPr="007D645B">
              <w:rPr>
                <w:rFonts w:ascii="Arial" w:hAnsi="Arial" w:cs="Arial"/>
              </w:rPr>
              <w:t xml:space="preserve">improvement in market </w:t>
            </w:r>
            <w:r w:rsidR="006B1A0B" w:rsidRPr="007D645B">
              <w:rPr>
                <w:rFonts w:ascii="Arial" w:hAnsi="Arial" w:cs="Arial"/>
              </w:rPr>
              <w:t>conditions</w:t>
            </w:r>
            <w:r w:rsidR="001B1404" w:rsidRPr="007D645B">
              <w:rPr>
                <w:rFonts w:ascii="Arial" w:hAnsi="Arial" w:cs="Arial"/>
              </w:rPr>
              <w:t>.</w:t>
            </w:r>
          </w:p>
          <w:p w14:paraId="13A9D680" w14:textId="77777777" w:rsidR="00762FB1" w:rsidRDefault="007D645B" w:rsidP="002B2FAB">
            <w:pPr>
              <w:shd w:val="clear" w:color="auto" w:fill="FFFFFF"/>
              <w:jc w:val="both"/>
              <w:rPr>
                <w:rFonts w:ascii="Arial" w:hAnsi="Arial" w:cs="Arial"/>
              </w:rPr>
            </w:pPr>
            <w:r>
              <w:rPr>
                <w:rFonts w:ascii="Arial" w:hAnsi="Arial" w:cs="Arial"/>
              </w:rPr>
              <w:t>The acceleration in</w:t>
            </w:r>
            <w:r w:rsidRPr="008143A3">
              <w:rPr>
                <w:rFonts w:ascii="Arial" w:hAnsi="Arial" w:cs="Arial"/>
              </w:rPr>
              <w:t xml:space="preserve"> </w:t>
            </w:r>
            <w:r w:rsidR="000D07EB">
              <w:rPr>
                <w:rFonts w:ascii="Arial" w:hAnsi="Arial" w:cs="Arial"/>
              </w:rPr>
              <w:t xml:space="preserve">Q1 </w:t>
            </w:r>
            <w:r w:rsidRPr="008143A3">
              <w:rPr>
                <w:rFonts w:ascii="Arial" w:hAnsi="Arial" w:cs="Arial"/>
              </w:rPr>
              <w:t xml:space="preserve">RevPAR and rooms growth </w:t>
            </w:r>
            <w:r>
              <w:rPr>
                <w:rFonts w:ascii="Arial" w:hAnsi="Arial" w:cs="Arial"/>
              </w:rPr>
              <w:t xml:space="preserve">in Greater China </w:t>
            </w:r>
            <w:r w:rsidR="001E3CCF">
              <w:rPr>
                <w:rFonts w:ascii="Arial" w:hAnsi="Arial" w:cs="Arial"/>
              </w:rPr>
              <w:t xml:space="preserve">to </w:t>
            </w:r>
            <w:r w:rsidR="000D07EB">
              <w:rPr>
                <w:rFonts w:ascii="Arial" w:hAnsi="Arial" w:cs="Arial"/>
              </w:rPr>
              <w:t xml:space="preserve">11% and 9% respectively </w:t>
            </w:r>
            <w:r w:rsidRPr="008143A3">
              <w:rPr>
                <w:rFonts w:ascii="Arial" w:hAnsi="Arial" w:cs="Arial"/>
              </w:rPr>
              <w:t xml:space="preserve">reflects the </w:t>
            </w:r>
            <w:r w:rsidR="000D07EB">
              <w:rPr>
                <w:rFonts w:ascii="Arial" w:hAnsi="Arial" w:cs="Arial"/>
              </w:rPr>
              <w:t xml:space="preserve">ongoing </w:t>
            </w:r>
            <w:r w:rsidRPr="008143A3">
              <w:rPr>
                <w:rFonts w:ascii="Arial" w:hAnsi="Arial" w:cs="Arial"/>
              </w:rPr>
              <w:t xml:space="preserve">benefit of </w:t>
            </w:r>
            <w:r w:rsidR="001E3CCF">
              <w:rPr>
                <w:rFonts w:ascii="Arial" w:hAnsi="Arial" w:cs="Arial"/>
              </w:rPr>
              <w:t xml:space="preserve">our </w:t>
            </w:r>
            <w:r w:rsidR="006621BC">
              <w:rPr>
                <w:rFonts w:ascii="Arial" w:hAnsi="Arial" w:cs="Arial"/>
              </w:rPr>
              <w:t xml:space="preserve">strong </w:t>
            </w:r>
            <w:r w:rsidRPr="008143A3">
              <w:rPr>
                <w:rFonts w:ascii="Arial" w:hAnsi="Arial" w:cs="Arial"/>
              </w:rPr>
              <w:t xml:space="preserve">strategic focus </w:t>
            </w:r>
            <w:r w:rsidR="00795CBB">
              <w:rPr>
                <w:rFonts w:ascii="Arial" w:hAnsi="Arial" w:cs="Arial"/>
              </w:rPr>
              <w:t xml:space="preserve">on this </w:t>
            </w:r>
            <w:r w:rsidR="006621BC">
              <w:rPr>
                <w:rFonts w:ascii="Arial" w:hAnsi="Arial" w:cs="Arial"/>
              </w:rPr>
              <w:t xml:space="preserve">important </w:t>
            </w:r>
            <w:r w:rsidR="00795CBB">
              <w:rPr>
                <w:rFonts w:ascii="Arial" w:hAnsi="Arial" w:cs="Arial"/>
              </w:rPr>
              <w:t>market</w:t>
            </w:r>
            <w:r w:rsidRPr="008143A3">
              <w:rPr>
                <w:rFonts w:ascii="Arial" w:hAnsi="Arial" w:cs="Arial"/>
              </w:rPr>
              <w:t>.</w:t>
            </w:r>
          </w:p>
          <w:p w14:paraId="401B986F" w14:textId="4638FF60" w:rsidR="005664AE" w:rsidRPr="002B2FAB" w:rsidRDefault="005664AE" w:rsidP="002B2FAB">
            <w:pPr>
              <w:shd w:val="clear" w:color="auto" w:fill="FFFFFF"/>
              <w:jc w:val="both"/>
              <w:rPr>
                <w:rFonts w:ascii="Arial" w:hAnsi="Arial" w:cs="Arial"/>
                <w:color w:val="C00000"/>
              </w:rPr>
            </w:pPr>
            <w:bookmarkStart w:id="0" w:name="_GoBack"/>
            <w:bookmarkEnd w:id="0"/>
          </w:p>
        </w:tc>
      </w:tr>
      <w:tr w:rsidR="007434A8" w:rsidRPr="007434A8" w14:paraId="148BB9B0" w14:textId="77777777" w:rsidTr="00324D79">
        <w:tc>
          <w:tcPr>
            <w:tcW w:w="10490" w:type="dxa"/>
            <w:gridSpan w:val="2"/>
          </w:tcPr>
          <w:p w14:paraId="21F6CFB9" w14:textId="77777777" w:rsidR="00BD0E99" w:rsidRPr="009215CB" w:rsidRDefault="009B29CD" w:rsidP="009D430E">
            <w:pPr>
              <w:spacing w:before="60" w:after="60"/>
              <w:jc w:val="both"/>
              <w:rPr>
                <w:rFonts w:ascii="Arial" w:hAnsi="Arial" w:cs="Arial"/>
                <w:b/>
              </w:rPr>
            </w:pPr>
            <w:r w:rsidRPr="009215CB">
              <w:rPr>
                <w:rFonts w:ascii="Arial" w:hAnsi="Arial" w:cs="Arial"/>
                <w:b/>
              </w:rPr>
              <w:lastRenderedPageBreak/>
              <w:t>Strategic progress</w:t>
            </w:r>
            <w:r w:rsidR="00936CE7" w:rsidRPr="009215CB">
              <w:rPr>
                <w:rFonts w:ascii="Arial" w:hAnsi="Arial" w:cs="Arial"/>
                <w:b/>
              </w:rPr>
              <w:t xml:space="preserve"> </w:t>
            </w:r>
          </w:p>
        </w:tc>
      </w:tr>
      <w:tr w:rsidR="00936CE7" w:rsidRPr="007434A8" w14:paraId="0DC4504A" w14:textId="77777777" w:rsidTr="00324D79">
        <w:trPr>
          <w:trHeight w:val="2446"/>
        </w:trPr>
        <w:tc>
          <w:tcPr>
            <w:tcW w:w="10490" w:type="dxa"/>
            <w:gridSpan w:val="2"/>
          </w:tcPr>
          <w:p w14:paraId="4294A9B4" w14:textId="6291DE59" w:rsidR="00C13E6D" w:rsidRPr="002B2FAB" w:rsidRDefault="002B2FAB" w:rsidP="002B2FAB">
            <w:pPr>
              <w:shd w:val="clear" w:color="auto" w:fill="FFFFFF"/>
              <w:spacing w:before="60" w:after="60"/>
              <w:jc w:val="both"/>
              <w:rPr>
                <w:rFonts w:ascii="Arial" w:hAnsi="Arial" w:cs="Arial"/>
              </w:rPr>
            </w:pPr>
            <w:r w:rsidRPr="002B2FAB">
              <w:rPr>
                <w:rFonts w:ascii="Arial" w:hAnsi="Arial" w:cs="Arial"/>
              </w:rPr>
              <w:t>Good pr</w:t>
            </w:r>
            <w:r>
              <w:rPr>
                <w:rFonts w:ascii="Arial" w:hAnsi="Arial" w:cs="Arial"/>
              </w:rPr>
              <w:t xml:space="preserve">ogress has been made </w:t>
            </w:r>
            <w:r w:rsidR="0076669A">
              <w:rPr>
                <w:rFonts w:ascii="Arial" w:hAnsi="Arial" w:cs="Arial"/>
              </w:rPr>
              <w:t xml:space="preserve">against our new strategic priorities to drive industry leading net </w:t>
            </w:r>
            <w:r w:rsidR="00104C64">
              <w:rPr>
                <w:rFonts w:ascii="Arial" w:hAnsi="Arial" w:cs="Arial"/>
              </w:rPr>
              <w:t xml:space="preserve">rooms </w:t>
            </w:r>
            <w:r w:rsidR="0076669A">
              <w:rPr>
                <w:rFonts w:ascii="Arial" w:hAnsi="Arial" w:cs="Arial"/>
              </w:rPr>
              <w:t>growth over the medium term.</w:t>
            </w:r>
            <w:r w:rsidR="00992C87" w:rsidRPr="002B2FAB">
              <w:rPr>
                <w:rFonts w:ascii="Arial" w:hAnsi="Arial" w:cs="Arial"/>
              </w:rPr>
              <w:t xml:space="preserve"> </w:t>
            </w:r>
          </w:p>
          <w:p w14:paraId="104BD336" w14:textId="016BFA27" w:rsidR="006D12D7" w:rsidRPr="00F65E85" w:rsidRDefault="006D12D7" w:rsidP="00992C87">
            <w:pPr>
              <w:spacing w:before="200" w:after="60"/>
              <w:jc w:val="both"/>
              <w:rPr>
                <w:rFonts w:ascii="Arial" w:hAnsi="Arial" w:cs="Arial"/>
                <w:b/>
              </w:rPr>
            </w:pPr>
            <w:r w:rsidRPr="00F65E85">
              <w:rPr>
                <w:rFonts w:ascii="Arial" w:hAnsi="Arial" w:cs="Arial"/>
                <w:b/>
              </w:rPr>
              <w:t xml:space="preserve">Build and leverage scale </w:t>
            </w:r>
          </w:p>
          <w:p w14:paraId="47F271F1" w14:textId="77777777" w:rsidR="006D12D7" w:rsidRPr="00945A36" w:rsidRDefault="006D12D7" w:rsidP="006D12D7">
            <w:pPr>
              <w:pStyle w:val="ListParagraph"/>
              <w:numPr>
                <w:ilvl w:val="0"/>
                <w:numId w:val="24"/>
              </w:numPr>
              <w:shd w:val="clear" w:color="auto" w:fill="FFFFFF"/>
              <w:spacing w:before="60" w:after="60"/>
              <w:ind w:left="453" w:hanging="357"/>
              <w:jc w:val="both"/>
              <w:rPr>
                <w:rFonts w:ascii="Arial" w:hAnsi="Arial" w:cs="Arial"/>
                <w:sz w:val="20"/>
                <w:szCs w:val="20"/>
              </w:rPr>
            </w:pPr>
            <w:r w:rsidRPr="00501FBB">
              <w:rPr>
                <w:rFonts w:ascii="Arial" w:hAnsi="Arial" w:cs="Arial"/>
                <w:sz w:val="20"/>
                <w:szCs w:val="20"/>
              </w:rPr>
              <w:t xml:space="preserve">Net system size up </w:t>
            </w:r>
            <w:r>
              <w:rPr>
                <w:rFonts w:ascii="Arial" w:hAnsi="Arial" w:cs="Arial"/>
                <w:sz w:val="20"/>
                <w:szCs w:val="20"/>
              </w:rPr>
              <w:t>4.3</w:t>
            </w:r>
            <w:r w:rsidRPr="00945A36">
              <w:rPr>
                <w:rFonts w:ascii="Arial" w:hAnsi="Arial" w:cs="Arial"/>
                <w:sz w:val="20"/>
                <w:szCs w:val="20"/>
              </w:rPr>
              <w:t xml:space="preserve">% year on year to </w:t>
            </w:r>
            <w:r>
              <w:rPr>
                <w:rFonts w:ascii="Arial" w:hAnsi="Arial" w:cs="Arial"/>
                <w:sz w:val="20"/>
                <w:szCs w:val="20"/>
              </w:rPr>
              <w:t>800</w:t>
            </w:r>
            <w:r w:rsidRPr="00945A36">
              <w:rPr>
                <w:rFonts w:ascii="Arial" w:hAnsi="Arial" w:cs="Arial"/>
                <w:sz w:val="20"/>
                <w:szCs w:val="20"/>
              </w:rPr>
              <w:t>k rooms (5,</w:t>
            </w:r>
            <w:r>
              <w:rPr>
                <w:rFonts w:ascii="Arial" w:hAnsi="Arial" w:cs="Arial"/>
                <w:sz w:val="20"/>
                <w:szCs w:val="20"/>
              </w:rPr>
              <w:t>367</w:t>
            </w:r>
            <w:r w:rsidRPr="00945A36">
              <w:rPr>
                <w:rFonts w:ascii="Arial" w:hAnsi="Arial" w:cs="Arial"/>
                <w:sz w:val="20"/>
                <w:szCs w:val="20"/>
              </w:rPr>
              <w:t xml:space="preserve"> hotels).</w:t>
            </w:r>
          </w:p>
          <w:p w14:paraId="3B0A14A6" w14:textId="595A7292" w:rsidR="006D12D7" w:rsidRPr="00C16D5F" w:rsidRDefault="006D12D7" w:rsidP="006D12D7">
            <w:pPr>
              <w:pStyle w:val="ListParagraph"/>
              <w:numPr>
                <w:ilvl w:val="0"/>
                <w:numId w:val="24"/>
              </w:numPr>
              <w:shd w:val="clear" w:color="auto" w:fill="FFFFFF"/>
              <w:spacing w:before="60" w:after="60"/>
              <w:ind w:left="453" w:hanging="357"/>
              <w:jc w:val="both"/>
              <w:rPr>
                <w:rFonts w:ascii="Arial" w:hAnsi="Arial" w:cs="Arial"/>
                <w:sz w:val="20"/>
                <w:szCs w:val="20"/>
              </w:rPr>
            </w:pPr>
            <w:r>
              <w:rPr>
                <w:rFonts w:ascii="Arial" w:hAnsi="Arial" w:cs="Arial"/>
                <w:sz w:val="20"/>
                <w:szCs w:val="20"/>
              </w:rPr>
              <w:t>8</w:t>
            </w:r>
            <w:r w:rsidRPr="004E53EF">
              <w:rPr>
                <w:rFonts w:ascii="Arial" w:hAnsi="Arial" w:cs="Arial"/>
                <w:sz w:val="20"/>
                <w:szCs w:val="20"/>
              </w:rPr>
              <w:t>k rooms (</w:t>
            </w:r>
            <w:r>
              <w:rPr>
                <w:rFonts w:ascii="Arial" w:hAnsi="Arial" w:cs="Arial"/>
                <w:sz w:val="20"/>
                <w:szCs w:val="20"/>
              </w:rPr>
              <w:t>53</w:t>
            </w:r>
            <w:r w:rsidRPr="004E53EF">
              <w:rPr>
                <w:rFonts w:ascii="Arial" w:hAnsi="Arial" w:cs="Arial"/>
                <w:sz w:val="20"/>
                <w:szCs w:val="20"/>
              </w:rPr>
              <w:t xml:space="preserve"> hotels) opened in the quarter</w:t>
            </w:r>
            <w:r>
              <w:rPr>
                <w:rFonts w:ascii="Arial" w:hAnsi="Arial" w:cs="Arial"/>
                <w:sz w:val="20"/>
                <w:szCs w:val="20"/>
              </w:rPr>
              <w:t>, up 16% on the prior year and including our highest ever Q1 openings in Greater China.</w:t>
            </w:r>
            <w:r w:rsidR="00E337EE">
              <w:rPr>
                <w:rFonts w:ascii="Arial" w:hAnsi="Arial" w:cs="Arial"/>
                <w:sz w:val="20"/>
                <w:szCs w:val="20"/>
              </w:rPr>
              <w:t xml:space="preserve"> </w:t>
            </w:r>
            <w:r>
              <w:rPr>
                <w:rFonts w:ascii="Arial" w:hAnsi="Arial" w:cs="Arial"/>
                <w:sz w:val="20"/>
                <w:szCs w:val="20"/>
              </w:rPr>
              <w:t xml:space="preserve"> 6</w:t>
            </w:r>
            <w:r w:rsidRPr="004E53EF">
              <w:rPr>
                <w:rFonts w:ascii="Arial" w:hAnsi="Arial" w:cs="Arial"/>
                <w:sz w:val="20"/>
                <w:szCs w:val="20"/>
              </w:rPr>
              <w:t>k rooms (</w:t>
            </w:r>
            <w:r>
              <w:rPr>
                <w:rFonts w:ascii="Arial" w:hAnsi="Arial" w:cs="Arial"/>
                <w:sz w:val="20"/>
                <w:szCs w:val="20"/>
              </w:rPr>
              <w:t>34 hotels) were removed from the system.</w:t>
            </w:r>
          </w:p>
          <w:p w14:paraId="0CC705F1" w14:textId="0C28835E" w:rsidR="006D12D7" w:rsidRPr="00C40CFB" w:rsidRDefault="006D12D7" w:rsidP="006D12D7">
            <w:pPr>
              <w:pStyle w:val="ListParagraph"/>
              <w:numPr>
                <w:ilvl w:val="0"/>
                <w:numId w:val="24"/>
              </w:numPr>
              <w:shd w:val="clear" w:color="auto" w:fill="FFFFFF"/>
              <w:spacing w:before="60" w:after="60"/>
              <w:ind w:left="453" w:hanging="357"/>
              <w:jc w:val="both"/>
              <w:rPr>
                <w:rFonts w:ascii="Arial" w:hAnsi="Arial" w:cs="Arial"/>
                <w:sz w:val="20"/>
                <w:szCs w:val="20"/>
              </w:rPr>
            </w:pPr>
            <w:r w:rsidRPr="00C16D5F">
              <w:rPr>
                <w:rFonts w:ascii="Arial" w:hAnsi="Arial" w:cs="Arial"/>
                <w:sz w:val="20"/>
                <w:szCs w:val="20"/>
              </w:rPr>
              <w:t xml:space="preserve">20k rooms (146 hotels) signed, our highest Q1 </w:t>
            </w:r>
            <w:r w:rsidR="000F12AE">
              <w:rPr>
                <w:rFonts w:ascii="Arial" w:hAnsi="Arial" w:cs="Arial"/>
                <w:sz w:val="20"/>
                <w:szCs w:val="20"/>
              </w:rPr>
              <w:t xml:space="preserve">rooms </w:t>
            </w:r>
            <w:r w:rsidRPr="00C16D5F">
              <w:rPr>
                <w:rFonts w:ascii="Arial" w:hAnsi="Arial" w:cs="Arial"/>
                <w:sz w:val="20"/>
                <w:szCs w:val="20"/>
              </w:rPr>
              <w:t>signings since 2007.</w:t>
            </w:r>
            <w:r w:rsidR="00E337EE">
              <w:rPr>
                <w:rFonts w:ascii="Arial" w:hAnsi="Arial" w:cs="Arial"/>
                <w:sz w:val="20"/>
                <w:szCs w:val="20"/>
              </w:rPr>
              <w:t xml:space="preserve"> </w:t>
            </w:r>
            <w:r w:rsidRPr="00C16D5F">
              <w:rPr>
                <w:rFonts w:ascii="Arial" w:hAnsi="Arial" w:cs="Arial"/>
                <w:sz w:val="20"/>
                <w:szCs w:val="20"/>
              </w:rPr>
              <w:t xml:space="preserve"> Includes our strongest Q1 in the Americas since 2008, and our </w:t>
            </w:r>
            <w:proofErr w:type="gramStart"/>
            <w:r w:rsidRPr="00C16D5F">
              <w:rPr>
                <w:rFonts w:ascii="Arial" w:hAnsi="Arial" w:cs="Arial"/>
                <w:sz w:val="20"/>
                <w:szCs w:val="20"/>
              </w:rPr>
              <w:t xml:space="preserve">best </w:t>
            </w:r>
            <w:r w:rsidR="006621BC">
              <w:rPr>
                <w:rFonts w:ascii="Arial" w:hAnsi="Arial" w:cs="Arial"/>
                <w:sz w:val="20"/>
                <w:szCs w:val="20"/>
              </w:rPr>
              <w:t>ever</w:t>
            </w:r>
            <w:proofErr w:type="gramEnd"/>
            <w:r w:rsidR="006621BC">
              <w:rPr>
                <w:rFonts w:ascii="Arial" w:hAnsi="Arial" w:cs="Arial"/>
                <w:sz w:val="20"/>
                <w:szCs w:val="20"/>
              </w:rPr>
              <w:t xml:space="preserve"> </w:t>
            </w:r>
            <w:r w:rsidRPr="00C16D5F">
              <w:rPr>
                <w:rFonts w:ascii="Arial" w:hAnsi="Arial" w:cs="Arial"/>
                <w:sz w:val="20"/>
                <w:szCs w:val="20"/>
              </w:rPr>
              <w:t>Q1 in Greater China.</w:t>
            </w:r>
          </w:p>
          <w:p w14:paraId="4A3B95AA" w14:textId="77777777" w:rsidR="006D12D7" w:rsidRPr="006B1A0B" w:rsidRDefault="006D12D7" w:rsidP="006D12D7">
            <w:pPr>
              <w:pStyle w:val="ListParagraph"/>
              <w:numPr>
                <w:ilvl w:val="0"/>
                <w:numId w:val="24"/>
              </w:numPr>
              <w:shd w:val="clear" w:color="auto" w:fill="FFFFFF"/>
              <w:spacing w:before="60" w:after="60"/>
              <w:ind w:left="453" w:hanging="357"/>
              <w:jc w:val="both"/>
              <w:rPr>
                <w:rFonts w:ascii="Arial" w:hAnsi="Arial" w:cs="Arial"/>
                <w:sz w:val="20"/>
                <w:szCs w:val="20"/>
              </w:rPr>
            </w:pPr>
            <w:r w:rsidRPr="006B1A0B">
              <w:rPr>
                <w:rFonts w:ascii="Arial" w:hAnsi="Arial" w:cs="Arial"/>
                <w:sz w:val="20"/>
                <w:szCs w:val="20"/>
              </w:rPr>
              <w:t>2</w:t>
            </w:r>
            <w:r>
              <w:rPr>
                <w:rFonts w:ascii="Arial" w:hAnsi="Arial" w:cs="Arial"/>
                <w:sz w:val="20"/>
                <w:szCs w:val="20"/>
              </w:rPr>
              <w:t>52k pipeline rooms; ~</w:t>
            </w:r>
            <w:r w:rsidRPr="006B1A0B">
              <w:rPr>
                <w:rFonts w:ascii="Arial" w:hAnsi="Arial" w:cs="Arial"/>
                <w:sz w:val="20"/>
                <w:szCs w:val="20"/>
              </w:rPr>
              <w:t>45% under construction.</w:t>
            </w:r>
          </w:p>
          <w:p w14:paraId="2D216787" w14:textId="3F1E2CE1" w:rsidR="006D12D7" w:rsidRPr="00F65E85" w:rsidRDefault="009D3B30" w:rsidP="00992C87">
            <w:pPr>
              <w:spacing w:before="200" w:after="60"/>
              <w:jc w:val="both"/>
              <w:rPr>
                <w:rFonts w:ascii="Arial" w:hAnsi="Arial" w:cs="Arial"/>
                <w:b/>
              </w:rPr>
            </w:pPr>
            <w:r>
              <w:rPr>
                <w:rFonts w:ascii="Arial" w:hAnsi="Arial" w:cs="Arial"/>
                <w:b/>
              </w:rPr>
              <w:t>Enhance r</w:t>
            </w:r>
            <w:r w:rsidR="006D12D7" w:rsidRPr="00F65E85">
              <w:rPr>
                <w:rFonts w:ascii="Arial" w:hAnsi="Arial" w:cs="Arial"/>
                <w:b/>
              </w:rPr>
              <w:t xml:space="preserve">evenue </w:t>
            </w:r>
            <w:r>
              <w:rPr>
                <w:rFonts w:ascii="Arial" w:hAnsi="Arial" w:cs="Arial"/>
                <w:b/>
              </w:rPr>
              <w:t>d</w:t>
            </w:r>
            <w:r w:rsidR="006D12D7" w:rsidRPr="00F65E85">
              <w:rPr>
                <w:rFonts w:ascii="Arial" w:hAnsi="Arial" w:cs="Arial"/>
                <w:b/>
              </w:rPr>
              <w:t>elivery</w:t>
            </w:r>
          </w:p>
          <w:p w14:paraId="4BFD0C90" w14:textId="110BE9F5" w:rsidR="006D12D7" w:rsidRDefault="006D12D7" w:rsidP="0076669A">
            <w:pPr>
              <w:pStyle w:val="ListParagraph"/>
              <w:numPr>
                <w:ilvl w:val="0"/>
                <w:numId w:val="24"/>
              </w:numPr>
              <w:shd w:val="clear" w:color="auto" w:fill="FFFFFF"/>
              <w:spacing w:before="60" w:after="60"/>
              <w:ind w:left="453" w:hanging="357"/>
              <w:jc w:val="both"/>
              <w:rPr>
                <w:rFonts w:ascii="Arial" w:hAnsi="Arial" w:cs="Arial"/>
                <w:b/>
              </w:rPr>
            </w:pPr>
            <w:r w:rsidRPr="00C16D5F">
              <w:rPr>
                <w:rFonts w:ascii="Arial" w:hAnsi="Arial" w:cs="Arial"/>
                <w:sz w:val="20"/>
                <w:szCs w:val="20"/>
              </w:rPr>
              <w:t>Roll out of GRS and IHG Concerto</w:t>
            </w:r>
            <w:r>
              <w:rPr>
                <w:rFonts w:ascii="Arial" w:hAnsi="Arial" w:cs="Arial"/>
                <w:sz w:val="20"/>
                <w:szCs w:val="20"/>
              </w:rPr>
              <w:t xml:space="preserve"> continues at pace</w:t>
            </w:r>
            <w:r w:rsidRPr="00C16D5F">
              <w:rPr>
                <w:rFonts w:ascii="Arial" w:hAnsi="Arial" w:cs="Arial"/>
                <w:sz w:val="20"/>
                <w:szCs w:val="20"/>
              </w:rPr>
              <w:t>, with over 1,000 hotels now migrated to the platform</w:t>
            </w:r>
            <w:r>
              <w:rPr>
                <w:rFonts w:ascii="Arial" w:hAnsi="Arial" w:cs="Arial"/>
                <w:sz w:val="20"/>
                <w:szCs w:val="20"/>
              </w:rPr>
              <w:t xml:space="preserve">.  </w:t>
            </w:r>
            <w:r w:rsidR="00762FB1">
              <w:rPr>
                <w:rFonts w:ascii="Arial" w:hAnsi="Arial" w:cs="Arial"/>
                <w:sz w:val="20"/>
                <w:szCs w:val="20"/>
              </w:rPr>
              <w:t>O</w:t>
            </w:r>
            <w:r>
              <w:rPr>
                <w:rFonts w:ascii="Arial" w:hAnsi="Arial" w:cs="Arial"/>
                <w:sz w:val="20"/>
                <w:szCs w:val="20"/>
              </w:rPr>
              <w:t>n track to complete the roll-out by the end of 2018 / early 2019.</w:t>
            </w:r>
          </w:p>
          <w:p w14:paraId="051BBBB7" w14:textId="1189707F" w:rsidR="006D12D7" w:rsidRPr="00F65E85" w:rsidRDefault="006D12D7" w:rsidP="00992C87">
            <w:pPr>
              <w:spacing w:before="200" w:after="60"/>
              <w:jc w:val="both"/>
              <w:rPr>
                <w:rFonts w:ascii="Arial" w:hAnsi="Arial" w:cs="Arial"/>
                <w:b/>
              </w:rPr>
            </w:pPr>
            <w:r w:rsidRPr="00F65E85">
              <w:rPr>
                <w:rFonts w:ascii="Arial" w:hAnsi="Arial" w:cs="Arial"/>
                <w:b/>
              </w:rPr>
              <w:t>Evolve owner proposition</w:t>
            </w:r>
          </w:p>
          <w:p w14:paraId="13FD18A0" w14:textId="3170EF4B" w:rsidR="006D12D7" w:rsidRPr="006A0AC0" w:rsidRDefault="006D12D7" w:rsidP="006D12D7">
            <w:pPr>
              <w:pStyle w:val="ListParagraph"/>
              <w:numPr>
                <w:ilvl w:val="0"/>
                <w:numId w:val="24"/>
              </w:numPr>
              <w:shd w:val="clear" w:color="auto" w:fill="FFFFFF"/>
              <w:spacing w:before="60" w:after="60"/>
              <w:ind w:left="453" w:hanging="357"/>
              <w:jc w:val="both"/>
              <w:rPr>
                <w:rFonts w:ascii="Arial" w:hAnsi="Arial" w:cs="Arial"/>
                <w:sz w:val="20"/>
                <w:szCs w:val="20"/>
              </w:rPr>
            </w:pPr>
            <w:r>
              <w:rPr>
                <w:rFonts w:ascii="Arial" w:hAnsi="Arial" w:cs="Arial"/>
                <w:sz w:val="20"/>
                <w:szCs w:val="20"/>
              </w:rPr>
              <w:t xml:space="preserve">Continued momentum with Holiday Inn Express </w:t>
            </w:r>
            <w:r w:rsidRPr="006A0AC0">
              <w:rPr>
                <w:rFonts w:ascii="Arial" w:hAnsi="Arial" w:cs="Arial"/>
                <w:sz w:val="20"/>
                <w:szCs w:val="20"/>
              </w:rPr>
              <w:t xml:space="preserve">Franchise </w:t>
            </w:r>
            <w:r>
              <w:rPr>
                <w:rFonts w:ascii="Arial" w:hAnsi="Arial" w:cs="Arial"/>
                <w:sz w:val="20"/>
                <w:szCs w:val="20"/>
              </w:rPr>
              <w:t>P</w:t>
            </w:r>
            <w:r w:rsidRPr="006A0AC0">
              <w:rPr>
                <w:rFonts w:ascii="Arial" w:hAnsi="Arial" w:cs="Arial"/>
                <w:sz w:val="20"/>
                <w:szCs w:val="20"/>
              </w:rPr>
              <w:t xml:space="preserve">lus </w:t>
            </w:r>
            <w:r>
              <w:rPr>
                <w:rFonts w:ascii="Arial" w:hAnsi="Arial" w:cs="Arial"/>
                <w:sz w:val="20"/>
                <w:szCs w:val="20"/>
              </w:rPr>
              <w:t>in Greater China, with 11 properties</w:t>
            </w:r>
            <w:r w:rsidR="00762FB1">
              <w:rPr>
                <w:rFonts w:ascii="Arial" w:hAnsi="Arial" w:cs="Arial"/>
                <w:sz w:val="20"/>
                <w:szCs w:val="20"/>
              </w:rPr>
              <w:t xml:space="preserve"> (2k rooms)</w:t>
            </w:r>
            <w:r>
              <w:rPr>
                <w:rFonts w:ascii="Arial" w:hAnsi="Arial" w:cs="Arial"/>
                <w:sz w:val="20"/>
                <w:szCs w:val="20"/>
              </w:rPr>
              <w:t xml:space="preserve"> signed in Q1.  </w:t>
            </w:r>
            <w:r w:rsidRPr="00C16D5F">
              <w:rPr>
                <w:rFonts w:ascii="Arial" w:hAnsi="Arial" w:cs="Arial"/>
                <w:sz w:val="20"/>
                <w:szCs w:val="20"/>
              </w:rPr>
              <w:t>There</w:t>
            </w:r>
            <w:r w:rsidR="00992C87">
              <w:rPr>
                <w:rFonts w:ascii="Arial" w:hAnsi="Arial" w:cs="Arial"/>
                <w:sz w:val="20"/>
                <w:szCs w:val="20"/>
              </w:rPr>
              <w:t xml:space="preserve"> are now 8</w:t>
            </w:r>
            <w:r>
              <w:rPr>
                <w:rFonts w:ascii="Arial" w:hAnsi="Arial" w:cs="Arial"/>
                <w:sz w:val="20"/>
                <w:szCs w:val="20"/>
              </w:rPr>
              <w:t xml:space="preserve"> open and </w:t>
            </w:r>
            <w:r w:rsidR="00992C87">
              <w:rPr>
                <w:rFonts w:ascii="Arial" w:hAnsi="Arial" w:cs="Arial"/>
                <w:sz w:val="20"/>
                <w:szCs w:val="20"/>
              </w:rPr>
              <w:t>77</w:t>
            </w:r>
            <w:r>
              <w:rPr>
                <w:rFonts w:ascii="Arial" w:hAnsi="Arial" w:cs="Arial"/>
                <w:sz w:val="20"/>
                <w:szCs w:val="20"/>
              </w:rPr>
              <w:t xml:space="preserve"> pipeline Holiday Inn Express Franchise Plus properties</w:t>
            </w:r>
            <w:r w:rsidR="00F02EC2">
              <w:rPr>
                <w:rFonts w:ascii="Arial" w:hAnsi="Arial" w:cs="Arial"/>
                <w:sz w:val="20"/>
                <w:szCs w:val="20"/>
              </w:rPr>
              <w:t xml:space="preserve"> in the region</w:t>
            </w:r>
            <w:r>
              <w:rPr>
                <w:rFonts w:ascii="Arial" w:hAnsi="Arial" w:cs="Arial"/>
                <w:sz w:val="20"/>
                <w:szCs w:val="20"/>
              </w:rPr>
              <w:t>.</w:t>
            </w:r>
          </w:p>
          <w:p w14:paraId="51B13CAA" w14:textId="0A25F775" w:rsidR="00F65E85" w:rsidRPr="00F65E85" w:rsidRDefault="00F65E85" w:rsidP="00992C87">
            <w:pPr>
              <w:spacing w:before="200" w:after="60"/>
              <w:jc w:val="both"/>
              <w:rPr>
                <w:rFonts w:ascii="Arial" w:hAnsi="Arial" w:cs="Arial"/>
                <w:b/>
              </w:rPr>
            </w:pPr>
            <w:r w:rsidRPr="00F65E85">
              <w:rPr>
                <w:rFonts w:ascii="Arial" w:hAnsi="Arial" w:cs="Arial"/>
                <w:b/>
              </w:rPr>
              <w:t xml:space="preserve">Optimise our preferred portfolio of brands for owners and guests </w:t>
            </w:r>
          </w:p>
          <w:p w14:paraId="02A5A0B1" w14:textId="5722ACFF" w:rsidR="00F02EC2" w:rsidRPr="00D678AB" w:rsidRDefault="00762FB1" w:rsidP="00D678AB">
            <w:pPr>
              <w:pStyle w:val="ListParagraph"/>
              <w:numPr>
                <w:ilvl w:val="0"/>
                <w:numId w:val="24"/>
              </w:numPr>
              <w:shd w:val="clear" w:color="auto" w:fill="FFFFFF"/>
              <w:spacing w:before="60" w:after="60"/>
              <w:ind w:left="453" w:hanging="357"/>
              <w:jc w:val="both"/>
              <w:rPr>
                <w:rFonts w:ascii="Arial" w:hAnsi="Arial" w:cs="Arial"/>
                <w:b/>
                <w:bCs/>
                <w:color w:val="222222"/>
                <w:sz w:val="20"/>
                <w:szCs w:val="20"/>
                <w:u w:val="single"/>
              </w:rPr>
            </w:pPr>
            <w:r>
              <w:rPr>
                <w:rFonts w:ascii="Arial" w:hAnsi="Arial" w:cs="Arial"/>
                <w:sz w:val="20"/>
                <w:szCs w:val="20"/>
                <w:u w:val="single"/>
              </w:rPr>
              <w:t>Luxury – expanding our portfolio</w:t>
            </w:r>
            <w:r w:rsidR="00F02EC2" w:rsidRPr="00D678AB">
              <w:rPr>
                <w:rFonts w:ascii="Arial" w:hAnsi="Arial" w:cs="Arial"/>
                <w:u w:val="single"/>
              </w:rPr>
              <w:t>:</w:t>
            </w:r>
            <w:r w:rsidR="000958FB" w:rsidRPr="00D678AB">
              <w:rPr>
                <w:rFonts w:ascii="Arial" w:hAnsi="Arial" w:cs="Arial"/>
                <w:sz w:val="20"/>
                <w:szCs w:val="20"/>
                <w:u w:val="single"/>
              </w:rPr>
              <w:t xml:space="preserve"> </w:t>
            </w:r>
          </w:p>
          <w:p w14:paraId="76D4D8B9" w14:textId="0A3D8AF2" w:rsidR="00C16D5F" w:rsidRPr="00F02EC2" w:rsidRDefault="00F02EC2" w:rsidP="00F02EC2">
            <w:pPr>
              <w:pStyle w:val="ListParagraph"/>
              <w:numPr>
                <w:ilvl w:val="0"/>
                <w:numId w:val="28"/>
              </w:numPr>
              <w:shd w:val="clear" w:color="auto" w:fill="FFFFFF"/>
              <w:spacing w:before="60" w:after="60"/>
              <w:ind w:left="783" w:hanging="284"/>
              <w:jc w:val="both"/>
              <w:rPr>
                <w:rFonts w:ascii="Arial" w:hAnsi="Arial" w:cs="Arial"/>
                <w:sz w:val="20"/>
                <w:szCs w:val="20"/>
              </w:rPr>
            </w:pPr>
            <w:r>
              <w:rPr>
                <w:rFonts w:ascii="Arial" w:hAnsi="Arial" w:cs="Arial"/>
                <w:sz w:val="20"/>
                <w:szCs w:val="20"/>
              </w:rPr>
              <w:t>A</w:t>
            </w:r>
            <w:r w:rsidR="00C16D5F" w:rsidRPr="00F02EC2">
              <w:rPr>
                <w:rFonts w:ascii="Arial" w:hAnsi="Arial" w:cs="Arial"/>
                <w:sz w:val="20"/>
                <w:szCs w:val="20"/>
              </w:rPr>
              <w:t>cquisition</w:t>
            </w:r>
            <w:r w:rsidR="009D3B30" w:rsidRPr="00F02EC2">
              <w:rPr>
                <w:rFonts w:ascii="Arial" w:hAnsi="Arial" w:cs="Arial"/>
                <w:sz w:val="20"/>
                <w:szCs w:val="20"/>
              </w:rPr>
              <w:t xml:space="preserve"> of</w:t>
            </w:r>
            <w:r w:rsidR="00C23EE1" w:rsidRPr="00F02EC2">
              <w:rPr>
                <w:rFonts w:ascii="Arial" w:hAnsi="Arial" w:cs="Arial"/>
                <w:sz w:val="20"/>
                <w:szCs w:val="20"/>
              </w:rPr>
              <w:t xml:space="preserve"> </w:t>
            </w:r>
            <w:r w:rsidR="00945A36" w:rsidRPr="00F02EC2">
              <w:rPr>
                <w:rFonts w:ascii="Arial" w:hAnsi="Arial" w:cs="Arial"/>
                <w:sz w:val="20"/>
                <w:szCs w:val="20"/>
              </w:rPr>
              <w:t xml:space="preserve">Regent Hotels </w:t>
            </w:r>
            <w:r w:rsidR="002A00FB">
              <w:rPr>
                <w:rFonts w:ascii="Arial" w:hAnsi="Arial" w:cs="Arial"/>
                <w:sz w:val="20"/>
                <w:szCs w:val="20"/>
              </w:rPr>
              <w:t>&amp;</w:t>
            </w:r>
            <w:r w:rsidR="00945A36" w:rsidRPr="00F02EC2">
              <w:rPr>
                <w:rFonts w:ascii="Arial" w:hAnsi="Arial" w:cs="Arial"/>
                <w:sz w:val="20"/>
                <w:szCs w:val="20"/>
              </w:rPr>
              <w:t xml:space="preserve"> Resorts</w:t>
            </w:r>
            <w:r w:rsidR="00C16D5F" w:rsidRPr="00F02EC2">
              <w:rPr>
                <w:rFonts w:ascii="Arial" w:hAnsi="Arial" w:cs="Arial"/>
                <w:sz w:val="20"/>
                <w:szCs w:val="20"/>
              </w:rPr>
              <w:t>;</w:t>
            </w:r>
            <w:r w:rsidR="003952AA" w:rsidRPr="00F02EC2">
              <w:rPr>
                <w:rFonts w:ascii="Arial" w:hAnsi="Arial" w:cs="Arial"/>
                <w:sz w:val="20"/>
                <w:szCs w:val="20"/>
              </w:rPr>
              <w:t xml:space="preserve"> expected to close </w:t>
            </w:r>
            <w:r w:rsidR="00C40CFB" w:rsidRPr="00F02EC2">
              <w:rPr>
                <w:rFonts w:ascii="Arial" w:hAnsi="Arial" w:cs="Arial"/>
                <w:sz w:val="20"/>
                <w:szCs w:val="20"/>
              </w:rPr>
              <w:t>in</w:t>
            </w:r>
            <w:r w:rsidR="00240B05">
              <w:rPr>
                <w:rFonts w:ascii="Arial" w:hAnsi="Arial" w:cs="Arial"/>
                <w:sz w:val="20"/>
                <w:szCs w:val="20"/>
              </w:rPr>
              <w:t xml:space="preserve"> </w:t>
            </w:r>
            <w:proofErr w:type="spellStart"/>
            <w:r w:rsidR="00240B05">
              <w:rPr>
                <w:rFonts w:ascii="Arial" w:hAnsi="Arial" w:cs="Arial"/>
                <w:sz w:val="20"/>
                <w:szCs w:val="20"/>
              </w:rPr>
              <w:t>mid</w:t>
            </w:r>
            <w:r w:rsidR="00802E6B">
              <w:rPr>
                <w:rFonts w:ascii="Arial" w:hAnsi="Arial" w:cs="Arial"/>
                <w:sz w:val="20"/>
                <w:szCs w:val="20"/>
              </w:rPr>
              <w:t xml:space="preserve"> </w:t>
            </w:r>
            <w:r w:rsidR="003952AA" w:rsidRPr="00F02EC2">
              <w:rPr>
                <w:rFonts w:ascii="Arial" w:hAnsi="Arial" w:cs="Arial"/>
                <w:sz w:val="20"/>
                <w:szCs w:val="20"/>
              </w:rPr>
              <w:t>2018</w:t>
            </w:r>
            <w:proofErr w:type="spellEnd"/>
            <w:r w:rsidR="00C16D5F" w:rsidRPr="00F02EC2">
              <w:rPr>
                <w:rFonts w:ascii="Arial" w:hAnsi="Arial" w:cs="Arial"/>
                <w:sz w:val="20"/>
                <w:szCs w:val="20"/>
              </w:rPr>
              <w:t>;</w:t>
            </w:r>
            <w:r w:rsidR="002414EF" w:rsidRPr="00F02EC2">
              <w:rPr>
                <w:rFonts w:ascii="Arial" w:hAnsi="Arial" w:cs="Arial"/>
                <w:sz w:val="20"/>
                <w:szCs w:val="20"/>
              </w:rPr>
              <w:t xml:space="preserve"> </w:t>
            </w:r>
            <w:r w:rsidR="000958FB" w:rsidRPr="00F02EC2">
              <w:rPr>
                <w:rFonts w:ascii="Arial" w:hAnsi="Arial" w:cs="Arial"/>
                <w:sz w:val="20"/>
                <w:szCs w:val="20"/>
              </w:rPr>
              <w:t>6 open</w:t>
            </w:r>
            <w:r w:rsidR="00802E6B">
              <w:rPr>
                <w:rFonts w:ascii="Arial" w:hAnsi="Arial" w:cs="Arial"/>
                <w:sz w:val="20"/>
                <w:szCs w:val="20"/>
              </w:rPr>
              <w:t xml:space="preserve"> hotels</w:t>
            </w:r>
            <w:r w:rsidR="00802E6B" w:rsidRPr="00F02EC2">
              <w:rPr>
                <w:rFonts w:ascii="Arial" w:hAnsi="Arial" w:cs="Arial"/>
                <w:sz w:val="20"/>
                <w:szCs w:val="20"/>
              </w:rPr>
              <w:t xml:space="preserve"> </w:t>
            </w:r>
            <w:r w:rsidR="000958FB" w:rsidRPr="00F02EC2">
              <w:rPr>
                <w:rFonts w:ascii="Arial" w:hAnsi="Arial" w:cs="Arial"/>
                <w:sz w:val="20"/>
                <w:szCs w:val="20"/>
              </w:rPr>
              <w:t xml:space="preserve">(2.0k rooms) and 3 pipeline </w:t>
            </w:r>
            <w:r w:rsidR="00802E6B">
              <w:rPr>
                <w:rFonts w:ascii="Arial" w:hAnsi="Arial" w:cs="Arial"/>
                <w:sz w:val="20"/>
                <w:szCs w:val="20"/>
              </w:rPr>
              <w:t xml:space="preserve">hotels </w:t>
            </w:r>
            <w:r w:rsidR="000958FB" w:rsidRPr="00F02EC2">
              <w:rPr>
                <w:rFonts w:ascii="Arial" w:hAnsi="Arial" w:cs="Arial"/>
                <w:sz w:val="20"/>
                <w:szCs w:val="20"/>
              </w:rPr>
              <w:t>(0.9k rooms)</w:t>
            </w:r>
            <w:r w:rsidR="00C16D5F" w:rsidRPr="00F02EC2">
              <w:rPr>
                <w:rFonts w:ascii="Arial" w:hAnsi="Arial" w:cs="Arial"/>
                <w:sz w:val="20"/>
                <w:szCs w:val="20"/>
              </w:rPr>
              <w:t>; expected</w:t>
            </w:r>
            <w:r w:rsidR="000958FB" w:rsidRPr="00F02EC2">
              <w:rPr>
                <w:rFonts w:ascii="Arial" w:hAnsi="Arial" w:cs="Arial"/>
                <w:sz w:val="20"/>
                <w:szCs w:val="20"/>
              </w:rPr>
              <w:t xml:space="preserve"> to grow to more than 10,000 rooms (40 hotels) over the long term.</w:t>
            </w:r>
            <w:r w:rsidR="00B455B9" w:rsidRPr="00F02EC2">
              <w:rPr>
                <w:rFonts w:ascii="Arial" w:hAnsi="Arial" w:cs="Arial"/>
                <w:sz w:val="20"/>
                <w:szCs w:val="20"/>
              </w:rPr>
              <w:t xml:space="preserve"> </w:t>
            </w:r>
          </w:p>
          <w:p w14:paraId="1816FD01" w14:textId="35A8C7FA" w:rsidR="00F02EC2" w:rsidRPr="00F02EC2" w:rsidRDefault="00F02EC2" w:rsidP="00F02EC2">
            <w:pPr>
              <w:pStyle w:val="ListParagraph"/>
              <w:numPr>
                <w:ilvl w:val="0"/>
                <w:numId w:val="28"/>
              </w:numPr>
              <w:shd w:val="clear" w:color="auto" w:fill="FFFFFF"/>
              <w:spacing w:before="60" w:after="60"/>
              <w:ind w:left="783" w:hanging="284"/>
              <w:jc w:val="both"/>
              <w:rPr>
                <w:rFonts w:ascii="Arial" w:hAnsi="Arial" w:cs="Arial"/>
                <w:sz w:val="20"/>
                <w:szCs w:val="20"/>
              </w:rPr>
            </w:pPr>
            <w:r w:rsidRPr="00F02EC2">
              <w:rPr>
                <w:rFonts w:ascii="Arial" w:hAnsi="Arial" w:cs="Arial"/>
                <w:sz w:val="20"/>
                <w:szCs w:val="20"/>
              </w:rPr>
              <w:t xml:space="preserve">Agreement to rebrand a UK portfolio of hotels; establishing IHG as the leading UK luxury operator; launching Kimpton Hotels </w:t>
            </w:r>
            <w:r w:rsidR="00576DC2">
              <w:rPr>
                <w:rFonts w:ascii="Arial" w:hAnsi="Arial" w:cs="Arial"/>
                <w:sz w:val="20"/>
                <w:szCs w:val="20"/>
              </w:rPr>
              <w:t xml:space="preserve">&amp; </w:t>
            </w:r>
            <w:r w:rsidRPr="00F02EC2">
              <w:rPr>
                <w:rFonts w:ascii="Arial" w:hAnsi="Arial" w:cs="Arial"/>
                <w:sz w:val="20"/>
                <w:szCs w:val="20"/>
              </w:rPr>
              <w:t>Restaurants; expand</w:t>
            </w:r>
            <w:r>
              <w:rPr>
                <w:rFonts w:ascii="Arial" w:hAnsi="Arial" w:cs="Arial"/>
                <w:sz w:val="20"/>
                <w:szCs w:val="20"/>
              </w:rPr>
              <w:t>ing</w:t>
            </w:r>
            <w:r w:rsidRPr="00F02EC2">
              <w:rPr>
                <w:rFonts w:ascii="Arial" w:hAnsi="Arial" w:cs="Arial"/>
                <w:sz w:val="20"/>
                <w:szCs w:val="20"/>
              </w:rPr>
              <w:t xml:space="preserve"> InterConti</w:t>
            </w:r>
            <w:r>
              <w:rPr>
                <w:rFonts w:ascii="Arial" w:hAnsi="Arial" w:cs="Arial"/>
                <w:sz w:val="20"/>
                <w:szCs w:val="20"/>
              </w:rPr>
              <w:t>n</w:t>
            </w:r>
            <w:r w:rsidRPr="00F02EC2">
              <w:rPr>
                <w:rFonts w:ascii="Arial" w:hAnsi="Arial" w:cs="Arial"/>
                <w:sz w:val="20"/>
                <w:szCs w:val="20"/>
              </w:rPr>
              <w:t>ental</w:t>
            </w:r>
            <w:r>
              <w:rPr>
                <w:rFonts w:ascii="Arial" w:hAnsi="Arial" w:cs="Arial"/>
                <w:sz w:val="20"/>
                <w:szCs w:val="20"/>
              </w:rPr>
              <w:t>’s</w:t>
            </w:r>
            <w:r w:rsidRPr="00F02EC2">
              <w:rPr>
                <w:rFonts w:ascii="Arial" w:hAnsi="Arial" w:cs="Arial"/>
                <w:sz w:val="20"/>
                <w:szCs w:val="20"/>
              </w:rPr>
              <w:t xml:space="preserve"> presence</w:t>
            </w:r>
            <w:r w:rsidR="00F61597">
              <w:rPr>
                <w:rFonts w:ascii="Arial" w:hAnsi="Arial" w:cs="Arial"/>
                <w:sz w:val="20"/>
                <w:szCs w:val="20"/>
              </w:rPr>
              <w:t>.</w:t>
            </w:r>
            <w:r w:rsidRPr="00F02EC2">
              <w:rPr>
                <w:rFonts w:ascii="Arial" w:hAnsi="Arial" w:cs="Arial"/>
                <w:sz w:val="20"/>
                <w:szCs w:val="20"/>
              </w:rPr>
              <w:t xml:space="preserve"> </w:t>
            </w:r>
          </w:p>
          <w:p w14:paraId="4C16429D" w14:textId="22476E5B" w:rsidR="00C16D5F" w:rsidRPr="00F02EC2" w:rsidRDefault="00F65E85" w:rsidP="00AA0E17">
            <w:pPr>
              <w:pStyle w:val="ListParagraph"/>
              <w:numPr>
                <w:ilvl w:val="0"/>
                <w:numId w:val="24"/>
              </w:numPr>
              <w:shd w:val="clear" w:color="auto" w:fill="FFFFFF"/>
              <w:spacing w:before="60" w:after="60"/>
              <w:ind w:left="453" w:hanging="357"/>
              <w:jc w:val="both"/>
              <w:rPr>
                <w:rFonts w:ascii="Arial" w:hAnsi="Arial" w:cs="Arial"/>
                <w:sz w:val="20"/>
                <w:szCs w:val="20"/>
                <w:u w:val="single"/>
              </w:rPr>
            </w:pPr>
            <w:r w:rsidRPr="00F02EC2">
              <w:rPr>
                <w:rFonts w:ascii="Arial" w:hAnsi="Arial" w:cs="Arial"/>
                <w:sz w:val="20"/>
                <w:szCs w:val="20"/>
                <w:u w:val="single"/>
              </w:rPr>
              <w:t>Upscale</w:t>
            </w:r>
            <w:r w:rsidR="00762FB1">
              <w:rPr>
                <w:rFonts w:ascii="Arial" w:hAnsi="Arial" w:cs="Arial"/>
                <w:sz w:val="20"/>
                <w:szCs w:val="20"/>
                <w:u w:val="single"/>
              </w:rPr>
              <w:t xml:space="preserve"> – growing our offer</w:t>
            </w:r>
            <w:r w:rsidRPr="00F02EC2">
              <w:rPr>
                <w:rFonts w:ascii="Arial" w:hAnsi="Arial" w:cs="Arial"/>
                <w:sz w:val="20"/>
                <w:szCs w:val="20"/>
                <w:u w:val="single"/>
              </w:rPr>
              <w:t>:</w:t>
            </w:r>
          </w:p>
          <w:p w14:paraId="6DCC3763" w14:textId="47D9ECEE" w:rsidR="00F65E85" w:rsidRPr="00F65E85" w:rsidRDefault="00F02EC2" w:rsidP="00C16D5F">
            <w:pPr>
              <w:pStyle w:val="ListParagraph"/>
              <w:numPr>
                <w:ilvl w:val="0"/>
                <w:numId w:val="28"/>
              </w:numPr>
              <w:shd w:val="clear" w:color="auto" w:fill="FFFFFF"/>
              <w:spacing w:before="60" w:after="60"/>
              <w:ind w:left="783" w:hanging="284"/>
              <w:jc w:val="both"/>
              <w:rPr>
                <w:rFonts w:ascii="Arial" w:hAnsi="Arial" w:cs="Arial"/>
                <w:sz w:val="20"/>
                <w:szCs w:val="20"/>
              </w:rPr>
            </w:pPr>
            <w:r>
              <w:rPr>
                <w:rFonts w:ascii="Arial" w:hAnsi="Arial" w:cs="Arial"/>
                <w:sz w:val="20"/>
                <w:szCs w:val="20"/>
              </w:rPr>
              <w:t>UK portfolio deal will also strengthen IHG’s upscale presence and will establish a position for its new upscale brand, principally focused on conversion opportunities.</w:t>
            </w:r>
            <w:r w:rsidR="00C16D5F">
              <w:rPr>
                <w:rFonts w:ascii="Arial" w:hAnsi="Arial" w:cs="Arial"/>
                <w:sz w:val="20"/>
                <w:szCs w:val="20"/>
              </w:rPr>
              <w:t xml:space="preserve"> </w:t>
            </w:r>
          </w:p>
          <w:p w14:paraId="3F6D6A3E" w14:textId="66AA341B" w:rsidR="00C16D5F" w:rsidRPr="00C16D5F" w:rsidRDefault="00F65E85" w:rsidP="00C16D5F">
            <w:pPr>
              <w:pStyle w:val="ListParagraph"/>
              <w:numPr>
                <w:ilvl w:val="0"/>
                <w:numId w:val="24"/>
              </w:numPr>
              <w:shd w:val="clear" w:color="auto" w:fill="FFFFFF"/>
              <w:spacing w:before="60" w:after="60"/>
              <w:ind w:left="453" w:hanging="357"/>
              <w:jc w:val="both"/>
              <w:rPr>
                <w:rFonts w:ascii="Arial" w:hAnsi="Arial" w:cs="Arial"/>
                <w:sz w:val="20"/>
                <w:szCs w:val="20"/>
              </w:rPr>
            </w:pPr>
            <w:r w:rsidRPr="00F65E85">
              <w:rPr>
                <w:rFonts w:ascii="Arial" w:hAnsi="Arial" w:cs="Arial"/>
                <w:sz w:val="20"/>
                <w:szCs w:val="20"/>
                <w:u w:val="single"/>
              </w:rPr>
              <w:t>Mainstream</w:t>
            </w:r>
            <w:r w:rsidR="00762FB1">
              <w:rPr>
                <w:rFonts w:ascii="Arial" w:hAnsi="Arial" w:cs="Arial"/>
                <w:sz w:val="20"/>
                <w:szCs w:val="20"/>
                <w:u w:val="single"/>
              </w:rPr>
              <w:t xml:space="preserve"> – continued strong signings pace for</w:t>
            </w:r>
            <w:r w:rsidR="0076669A">
              <w:rPr>
                <w:rFonts w:ascii="Arial" w:hAnsi="Arial" w:cs="Arial"/>
                <w:sz w:val="20"/>
                <w:szCs w:val="20"/>
                <w:u w:val="single"/>
              </w:rPr>
              <w:t xml:space="preserve"> our</w:t>
            </w:r>
            <w:r w:rsidR="00762FB1">
              <w:rPr>
                <w:rFonts w:ascii="Arial" w:hAnsi="Arial" w:cs="Arial"/>
                <w:sz w:val="20"/>
                <w:szCs w:val="20"/>
                <w:u w:val="single"/>
              </w:rPr>
              <w:t xml:space="preserve"> newest brand</w:t>
            </w:r>
            <w:r w:rsidRPr="00F65E85">
              <w:rPr>
                <w:rFonts w:ascii="Arial" w:hAnsi="Arial" w:cs="Arial"/>
                <w:sz w:val="20"/>
                <w:szCs w:val="20"/>
                <w:u w:val="single"/>
              </w:rPr>
              <w:t>:</w:t>
            </w:r>
          </w:p>
          <w:p w14:paraId="5ED196E9" w14:textId="0EEE1C33" w:rsidR="0076669A" w:rsidRDefault="00747958" w:rsidP="006D12D7">
            <w:pPr>
              <w:pStyle w:val="ListParagraph"/>
              <w:numPr>
                <w:ilvl w:val="0"/>
                <w:numId w:val="28"/>
              </w:numPr>
              <w:shd w:val="clear" w:color="auto" w:fill="FFFFFF"/>
              <w:spacing w:before="60" w:after="240"/>
              <w:ind w:left="783" w:hanging="284"/>
              <w:jc w:val="both"/>
              <w:rPr>
                <w:rFonts w:ascii="Arial" w:hAnsi="Arial" w:cs="Arial"/>
                <w:sz w:val="20"/>
                <w:szCs w:val="20"/>
              </w:rPr>
            </w:pPr>
            <w:r>
              <w:rPr>
                <w:rFonts w:ascii="Arial" w:hAnsi="Arial" w:cs="Arial"/>
                <w:sz w:val="20"/>
                <w:szCs w:val="20"/>
              </w:rPr>
              <w:t xml:space="preserve">More than </w:t>
            </w:r>
            <w:r w:rsidR="00F32B4F">
              <w:rPr>
                <w:rFonts w:ascii="Arial" w:hAnsi="Arial" w:cs="Arial"/>
                <w:sz w:val="20"/>
                <w:szCs w:val="20"/>
              </w:rPr>
              <w:t>10</w:t>
            </w:r>
            <w:r>
              <w:rPr>
                <w:rFonts w:ascii="Arial" w:hAnsi="Arial" w:cs="Arial"/>
                <w:sz w:val="20"/>
                <w:szCs w:val="20"/>
              </w:rPr>
              <w:t>0</w:t>
            </w:r>
            <w:r w:rsidR="00452E5C">
              <w:rPr>
                <w:rFonts w:ascii="Arial" w:hAnsi="Arial" w:cs="Arial"/>
                <w:sz w:val="20"/>
                <w:szCs w:val="20"/>
              </w:rPr>
              <w:t xml:space="preserve"> </w:t>
            </w:r>
            <w:r w:rsidR="00FA202C">
              <w:rPr>
                <w:rFonts w:ascii="Arial" w:hAnsi="Arial" w:cs="Arial"/>
                <w:sz w:val="20"/>
                <w:szCs w:val="20"/>
              </w:rPr>
              <w:t xml:space="preserve">avid </w:t>
            </w:r>
            <w:r w:rsidR="00452E5C">
              <w:rPr>
                <w:rFonts w:ascii="Arial" w:hAnsi="Arial" w:cs="Arial"/>
                <w:sz w:val="20"/>
                <w:szCs w:val="20"/>
              </w:rPr>
              <w:t xml:space="preserve">hotels </w:t>
            </w:r>
            <w:r>
              <w:rPr>
                <w:rFonts w:ascii="Arial" w:hAnsi="Arial" w:cs="Arial"/>
                <w:sz w:val="20"/>
                <w:szCs w:val="20"/>
              </w:rPr>
              <w:t xml:space="preserve">now </w:t>
            </w:r>
            <w:r w:rsidR="00452E5C">
              <w:rPr>
                <w:rFonts w:ascii="Arial" w:hAnsi="Arial" w:cs="Arial"/>
                <w:sz w:val="20"/>
                <w:szCs w:val="20"/>
              </w:rPr>
              <w:t>signed</w:t>
            </w:r>
            <w:r w:rsidR="00DA5117">
              <w:rPr>
                <w:rFonts w:ascii="Arial" w:hAnsi="Arial" w:cs="Arial"/>
                <w:sz w:val="20"/>
                <w:szCs w:val="20"/>
              </w:rPr>
              <w:t xml:space="preserve">, including </w:t>
            </w:r>
            <w:r w:rsidR="00DA5117" w:rsidRPr="00F65E85">
              <w:rPr>
                <w:rFonts w:ascii="Arial" w:hAnsi="Arial" w:cs="Arial"/>
                <w:sz w:val="20"/>
                <w:szCs w:val="20"/>
              </w:rPr>
              <w:t>51 hotels (4.8k rooms)</w:t>
            </w:r>
            <w:r w:rsidR="00DA5117">
              <w:rPr>
                <w:rFonts w:ascii="Arial" w:hAnsi="Arial" w:cs="Arial"/>
                <w:sz w:val="20"/>
                <w:szCs w:val="20"/>
              </w:rPr>
              <w:t xml:space="preserve"> signed in Q1 2018</w:t>
            </w:r>
            <w:r w:rsidR="00DA5117" w:rsidRPr="00F65E85">
              <w:rPr>
                <w:rFonts w:ascii="Arial" w:hAnsi="Arial" w:cs="Arial"/>
                <w:sz w:val="20"/>
                <w:szCs w:val="20"/>
              </w:rPr>
              <w:t xml:space="preserve">, </w:t>
            </w:r>
            <w:r w:rsidR="00DA5117">
              <w:rPr>
                <w:rFonts w:ascii="Arial" w:hAnsi="Arial" w:cs="Arial"/>
                <w:sz w:val="20"/>
                <w:szCs w:val="20"/>
              </w:rPr>
              <w:t>two</w:t>
            </w:r>
            <w:r w:rsidR="00DA5117" w:rsidRPr="00F65E85">
              <w:rPr>
                <w:rFonts w:ascii="Arial" w:hAnsi="Arial" w:cs="Arial"/>
                <w:sz w:val="20"/>
                <w:szCs w:val="20"/>
              </w:rPr>
              <w:t xml:space="preserve"> </w:t>
            </w:r>
            <w:r w:rsidR="00DA5117">
              <w:rPr>
                <w:rFonts w:ascii="Arial" w:hAnsi="Arial" w:cs="Arial"/>
                <w:sz w:val="20"/>
                <w:szCs w:val="20"/>
              </w:rPr>
              <w:t xml:space="preserve">of which were </w:t>
            </w:r>
            <w:r w:rsidR="00DA5117" w:rsidRPr="00F65E85">
              <w:rPr>
                <w:rFonts w:ascii="Arial" w:hAnsi="Arial" w:cs="Arial"/>
                <w:sz w:val="20"/>
                <w:szCs w:val="20"/>
              </w:rPr>
              <w:t>in Canada</w:t>
            </w:r>
            <w:r w:rsidR="00DA5117">
              <w:rPr>
                <w:rFonts w:ascii="Arial" w:hAnsi="Arial" w:cs="Arial"/>
                <w:sz w:val="20"/>
                <w:szCs w:val="20"/>
              </w:rPr>
              <w:t xml:space="preserve">. </w:t>
            </w:r>
            <w:r w:rsidR="003948FE">
              <w:rPr>
                <w:rFonts w:ascii="Arial" w:hAnsi="Arial" w:cs="Arial"/>
                <w:sz w:val="20"/>
                <w:szCs w:val="20"/>
              </w:rPr>
              <w:t xml:space="preserve">This equates to </w:t>
            </w:r>
            <w:r w:rsidR="00DA5117">
              <w:rPr>
                <w:rFonts w:ascii="Arial" w:hAnsi="Arial" w:cs="Arial"/>
                <w:sz w:val="20"/>
                <w:szCs w:val="20"/>
              </w:rPr>
              <w:t xml:space="preserve">one </w:t>
            </w:r>
            <w:r w:rsidR="008143A3">
              <w:rPr>
                <w:rFonts w:ascii="Arial" w:hAnsi="Arial" w:cs="Arial"/>
                <w:sz w:val="20"/>
                <w:szCs w:val="20"/>
              </w:rPr>
              <w:t xml:space="preserve">new deal </w:t>
            </w:r>
            <w:r w:rsidR="00DA5117">
              <w:rPr>
                <w:rFonts w:ascii="Arial" w:hAnsi="Arial" w:cs="Arial"/>
                <w:sz w:val="20"/>
                <w:szCs w:val="20"/>
              </w:rPr>
              <w:t>signed e</w:t>
            </w:r>
            <w:r w:rsidR="008143A3">
              <w:rPr>
                <w:rFonts w:ascii="Arial" w:hAnsi="Arial" w:cs="Arial"/>
                <w:sz w:val="20"/>
                <w:szCs w:val="20"/>
              </w:rPr>
              <w:t xml:space="preserve">very </w:t>
            </w:r>
            <w:r w:rsidR="00F61597">
              <w:rPr>
                <w:rFonts w:ascii="Arial" w:hAnsi="Arial" w:cs="Arial"/>
                <w:sz w:val="20"/>
                <w:szCs w:val="20"/>
              </w:rPr>
              <w:t>other day</w:t>
            </w:r>
            <w:r w:rsidR="00FB38EC">
              <w:rPr>
                <w:rFonts w:ascii="Arial" w:hAnsi="Arial" w:cs="Arial"/>
                <w:sz w:val="20"/>
                <w:szCs w:val="20"/>
              </w:rPr>
              <w:t xml:space="preserve"> since launch</w:t>
            </w:r>
            <w:r w:rsidR="00F61597">
              <w:rPr>
                <w:rFonts w:ascii="Arial" w:hAnsi="Arial" w:cs="Arial"/>
                <w:sz w:val="20"/>
                <w:szCs w:val="20"/>
              </w:rPr>
              <w:t xml:space="preserve"> in September 2017</w:t>
            </w:r>
            <w:r w:rsidR="001E172C">
              <w:rPr>
                <w:rFonts w:ascii="Arial" w:hAnsi="Arial" w:cs="Arial"/>
                <w:sz w:val="20"/>
                <w:szCs w:val="20"/>
              </w:rPr>
              <w:t>.</w:t>
            </w:r>
            <w:r w:rsidR="006A49D8">
              <w:rPr>
                <w:rFonts w:ascii="Arial" w:hAnsi="Arial" w:cs="Arial"/>
                <w:sz w:val="20"/>
                <w:szCs w:val="20"/>
              </w:rPr>
              <w:t xml:space="preserve"> </w:t>
            </w:r>
          </w:p>
          <w:p w14:paraId="0D1C2460" w14:textId="77777777" w:rsidR="0076669A" w:rsidRPr="008143A3" w:rsidRDefault="0076669A" w:rsidP="008143A3">
            <w:pPr>
              <w:shd w:val="clear" w:color="auto" w:fill="FFFFFF"/>
              <w:spacing w:before="60"/>
              <w:jc w:val="both"/>
              <w:rPr>
                <w:rFonts w:ascii="Arial" w:hAnsi="Arial" w:cs="Arial"/>
                <w:b/>
              </w:rPr>
            </w:pPr>
            <w:r w:rsidRPr="008143A3">
              <w:rPr>
                <w:rFonts w:ascii="Arial" w:hAnsi="Arial" w:cs="Arial"/>
                <w:b/>
              </w:rPr>
              <w:t>Efficiency programme</w:t>
            </w:r>
          </w:p>
          <w:p w14:paraId="3C21C619" w14:textId="2CEF55C5" w:rsidR="0076669A" w:rsidRPr="008143A3" w:rsidRDefault="0076669A" w:rsidP="008143A3">
            <w:pPr>
              <w:pStyle w:val="ListParagraph"/>
              <w:numPr>
                <w:ilvl w:val="0"/>
                <w:numId w:val="32"/>
              </w:numPr>
              <w:shd w:val="clear" w:color="auto" w:fill="FFFFFF"/>
              <w:spacing w:before="60" w:after="60"/>
              <w:ind w:left="357" w:hanging="357"/>
              <w:jc w:val="both"/>
              <w:rPr>
                <w:rFonts w:ascii="Arial" w:hAnsi="Arial" w:cs="Arial"/>
              </w:rPr>
            </w:pPr>
            <w:r>
              <w:rPr>
                <w:rFonts w:ascii="Arial" w:hAnsi="Arial" w:cs="Arial"/>
                <w:sz w:val="20"/>
                <w:szCs w:val="20"/>
              </w:rPr>
              <w:t xml:space="preserve">Confident in our ability to </w:t>
            </w:r>
            <w:r w:rsidRPr="008143A3">
              <w:rPr>
                <w:rFonts w:ascii="Arial" w:hAnsi="Arial" w:cs="Arial"/>
                <w:sz w:val="20"/>
                <w:szCs w:val="20"/>
              </w:rPr>
              <w:t>deliver $125m of annual savings by 20</w:t>
            </w:r>
            <w:r w:rsidR="005A07A7">
              <w:rPr>
                <w:rFonts w:ascii="Arial" w:hAnsi="Arial" w:cs="Arial"/>
                <w:sz w:val="20"/>
                <w:szCs w:val="20"/>
              </w:rPr>
              <w:t>20</w:t>
            </w:r>
            <w:r w:rsidRPr="008143A3">
              <w:rPr>
                <w:rFonts w:ascii="Arial" w:hAnsi="Arial" w:cs="Arial"/>
                <w:sz w:val="20"/>
                <w:szCs w:val="20"/>
              </w:rPr>
              <w:t xml:space="preserve"> for reinvestment to drive growth</w:t>
            </w:r>
            <w:r>
              <w:rPr>
                <w:rFonts w:ascii="Arial" w:hAnsi="Arial" w:cs="Arial"/>
                <w:sz w:val="20"/>
                <w:szCs w:val="20"/>
              </w:rPr>
              <w:t>, with our efficiency programme well underway</w:t>
            </w:r>
            <w:r w:rsidRPr="008143A3">
              <w:rPr>
                <w:rFonts w:ascii="Arial" w:hAnsi="Arial" w:cs="Arial"/>
                <w:sz w:val="20"/>
                <w:szCs w:val="20"/>
              </w:rPr>
              <w:t xml:space="preserve">.  </w:t>
            </w:r>
          </w:p>
          <w:p w14:paraId="14A80D17" w14:textId="74BA2C06" w:rsidR="003D70EF" w:rsidRPr="008143A3" w:rsidRDefault="0076669A" w:rsidP="008143A3">
            <w:pPr>
              <w:pStyle w:val="ListParagraph"/>
              <w:numPr>
                <w:ilvl w:val="0"/>
                <w:numId w:val="32"/>
              </w:numPr>
              <w:shd w:val="clear" w:color="auto" w:fill="FFFFFF"/>
              <w:spacing w:before="60" w:after="60"/>
              <w:ind w:left="357" w:hanging="357"/>
              <w:jc w:val="both"/>
              <w:rPr>
                <w:rFonts w:ascii="Arial" w:hAnsi="Arial" w:cs="Arial"/>
              </w:rPr>
            </w:pPr>
            <w:r>
              <w:rPr>
                <w:rFonts w:ascii="Arial" w:hAnsi="Arial" w:cs="Arial"/>
                <w:sz w:val="20"/>
                <w:szCs w:val="20"/>
              </w:rPr>
              <w:t xml:space="preserve">Continue to expect </w:t>
            </w:r>
            <w:r w:rsidRPr="008143A3">
              <w:rPr>
                <w:rFonts w:ascii="Arial" w:hAnsi="Arial" w:cs="Arial"/>
                <w:sz w:val="20"/>
                <w:szCs w:val="20"/>
              </w:rPr>
              <w:t>$200m exceptional cash costs to achieve the savings; $31m in 2017 with majority of the remainder in 2018.</w:t>
            </w:r>
          </w:p>
          <w:p w14:paraId="14E0C3CD" w14:textId="14C9B4DD" w:rsidR="00F65E85" w:rsidRPr="008143A3" w:rsidRDefault="00F65E85" w:rsidP="008143A3">
            <w:pPr>
              <w:pStyle w:val="ListParagraph"/>
              <w:shd w:val="clear" w:color="auto" w:fill="FFFFFF"/>
              <w:spacing w:before="60" w:after="60"/>
              <w:ind w:left="357"/>
              <w:jc w:val="both"/>
              <w:rPr>
                <w:rFonts w:ascii="Arial" w:hAnsi="Arial" w:cs="Arial"/>
                <w:sz w:val="20"/>
                <w:szCs w:val="20"/>
              </w:rPr>
            </w:pPr>
          </w:p>
        </w:tc>
      </w:tr>
    </w:tbl>
    <w:p w14:paraId="4CA92670" w14:textId="77777777" w:rsidR="00D044A7" w:rsidRPr="007434A8" w:rsidRDefault="00D044A7">
      <w:pPr>
        <w:rPr>
          <w:color w:val="FF0000"/>
          <w:sz w:val="10"/>
          <w:szCs w:val="10"/>
        </w:rPr>
      </w:pPr>
    </w:p>
    <w:tbl>
      <w:tblPr>
        <w:tblW w:w="10524" w:type="dxa"/>
        <w:tblInd w:w="108" w:type="dxa"/>
        <w:tblLayout w:type="fixed"/>
        <w:tblLook w:val="00A0" w:firstRow="1" w:lastRow="0" w:firstColumn="1" w:lastColumn="0" w:noHBand="0" w:noVBand="0"/>
      </w:tblPr>
      <w:tblGrid>
        <w:gridCol w:w="10514"/>
        <w:gridCol w:w="10"/>
      </w:tblGrid>
      <w:tr w:rsidR="007434A8" w:rsidRPr="007434A8" w14:paraId="487CE951" w14:textId="77777777" w:rsidTr="002B6424">
        <w:trPr>
          <w:gridAfter w:val="1"/>
          <w:wAfter w:w="10" w:type="dxa"/>
          <w:trHeight w:val="152"/>
        </w:trPr>
        <w:tc>
          <w:tcPr>
            <w:tcW w:w="10514" w:type="dxa"/>
            <w:tcBorders>
              <w:top w:val="single" w:sz="4" w:space="0" w:color="auto"/>
              <w:bottom w:val="single" w:sz="4" w:space="0" w:color="auto"/>
            </w:tcBorders>
          </w:tcPr>
          <w:p w14:paraId="10347BC5" w14:textId="77777777" w:rsidR="007B4104" w:rsidRPr="00501FBB" w:rsidRDefault="007B4104" w:rsidP="009D430E">
            <w:pPr>
              <w:spacing w:before="60" w:after="60"/>
              <w:jc w:val="both"/>
              <w:rPr>
                <w:rFonts w:ascii="Arial" w:hAnsi="Arial" w:cs="Arial"/>
                <w:b/>
              </w:rPr>
            </w:pPr>
            <w:r w:rsidRPr="00501FBB">
              <w:rPr>
                <w:rFonts w:ascii="Arial" w:hAnsi="Arial" w:cs="Arial"/>
                <w:b/>
              </w:rPr>
              <w:t>Financial position and capital allocation</w:t>
            </w:r>
          </w:p>
        </w:tc>
      </w:tr>
      <w:tr w:rsidR="007B4104" w:rsidRPr="007434A8" w14:paraId="61382061" w14:textId="77777777" w:rsidTr="002B6424">
        <w:trPr>
          <w:gridAfter w:val="1"/>
          <w:wAfter w:w="10" w:type="dxa"/>
          <w:trHeight w:val="448"/>
        </w:trPr>
        <w:tc>
          <w:tcPr>
            <w:tcW w:w="10514" w:type="dxa"/>
            <w:tcBorders>
              <w:top w:val="single" w:sz="4" w:space="0" w:color="auto"/>
            </w:tcBorders>
            <w:shd w:val="clear" w:color="auto" w:fill="auto"/>
          </w:tcPr>
          <w:p w14:paraId="0F3E39B2" w14:textId="36249150" w:rsidR="002B6424" w:rsidRPr="00501FBB" w:rsidRDefault="007B4104" w:rsidP="002B6424">
            <w:pPr>
              <w:spacing w:before="60" w:after="240"/>
              <w:jc w:val="both"/>
              <w:rPr>
                <w:rFonts w:ascii="Arial" w:hAnsi="Arial" w:cs="Arial"/>
              </w:rPr>
            </w:pPr>
            <w:r w:rsidRPr="00501FBB">
              <w:rPr>
                <w:rFonts w:ascii="Arial" w:hAnsi="Arial" w:cs="Arial"/>
              </w:rPr>
              <w:t>The financial position of the group remains robust, with an on-going commitment to an efficient balance sheet and an investment grade credit rating.</w:t>
            </w:r>
            <w:r w:rsidR="00266499" w:rsidRPr="00501FBB">
              <w:rPr>
                <w:rFonts w:ascii="Arial" w:hAnsi="Arial" w:cs="Arial"/>
              </w:rPr>
              <w:t xml:space="preserve"> </w:t>
            </w:r>
          </w:p>
        </w:tc>
      </w:tr>
      <w:tr w:rsidR="007434A8" w:rsidRPr="007434A8" w14:paraId="7C312B4C" w14:textId="77777777" w:rsidTr="002B6424">
        <w:trPr>
          <w:trHeight w:val="179"/>
        </w:trPr>
        <w:tc>
          <w:tcPr>
            <w:tcW w:w="10524" w:type="dxa"/>
            <w:gridSpan w:val="2"/>
            <w:tcBorders>
              <w:top w:val="single" w:sz="4" w:space="0" w:color="auto"/>
              <w:bottom w:val="single" w:sz="4" w:space="0" w:color="auto"/>
            </w:tcBorders>
          </w:tcPr>
          <w:p w14:paraId="085D3E71" w14:textId="001EE7C9" w:rsidR="002A6FC6" w:rsidRPr="002A6FC6" w:rsidRDefault="007B4104" w:rsidP="009D430E">
            <w:pPr>
              <w:spacing w:before="60" w:after="60"/>
              <w:jc w:val="both"/>
              <w:rPr>
                <w:rFonts w:ascii="Arial" w:hAnsi="Arial" w:cs="Arial"/>
                <w:b/>
              </w:rPr>
            </w:pPr>
            <w:r w:rsidRPr="007C3283">
              <w:rPr>
                <w:rFonts w:ascii="Arial" w:hAnsi="Arial" w:cs="Arial"/>
                <w:b/>
              </w:rPr>
              <w:t>Foreign exchange</w:t>
            </w:r>
          </w:p>
        </w:tc>
      </w:tr>
      <w:tr w:rsidR="002A6FC6" w:rsidRPr="00F567C4" w14:paraId="18797921" w14:textId="77777777" w:rsidTr="002B6424">
        <w:trPr>
          <w:trHeight w:val="179"/>
        </w:trPr>
        <w:tc>
          <w:tcPr>
            <w:tcW w:w="10524" w:type="dxa"/>
            <w:gridSpan w:val="2"/>
            <w:tcBorders>
              <w:top w:val="single" w:sz="4" w:space="0" w:color="auto"/>
              <w:bottom w:val="single" w:sz="4" w:space="0" w:color="auto"/>
            </w:tcBorders>
          </w:tcPr>
          <w:p w14:paraId="46E69F48" w14:textId="796E8379" w:rsidR="002B6424" w:rsidRPr="002B6424" w:rsidRDefault="009D3B30" w:rsidP="002B6424">
            <w:pPr>
              <w:pStyle w:val="NormalArial"/>
              <w:spacing w:after="240"/>
            </w:pPr>
            <w:r>
              <w:t>The weakening of the US d</w:t>
            </w:r>
            <w:r w:rsidR="002A6FC6" w:rsidRPr="002A6FC6">
              <w:t>ollar against many major currencies globally increased group RevPAR to 6.5% in the quarter, when reported at actual exchange rates.  A breakdown of constant vs. actual currency RevPAR by region is set out in Appendix 2.</w:t>
            </w:r>
          </w:p>
        </w:tc>
      </w:tr>
      <w:tr w:rsidR="002A6FC6" w:rsidRPr="00F567C4" w14:paraId="5DC525A2" w14:textId="77777777" w:rsidTr="002B6424">
        <w:trPr>
          <w:trHeight w:val="179"/>
        </w:trPr>
        <w:tc>
          <w:tcPr>
            <w:tcW w:w="10524" w:type="dxa"/>
            <w:gridSpan w:val="2"/>
            <w:tcBorders>
              <w:top w:val="single" w:sz="4" w:space="0" w:color="auto"/>
              <w:bottom w:val="single" w:sz="4" w:space="0" w:color="auto"/>
            </w:tcBorders>
          </w:tcPr>
          <w:p w14:paraId="6BFCD6B1" w14:textId="2C682265" w:rsidR="002A6FC6" w:rsidRPr="002A6FC6" w:rsidRDefault="002A6FC6" w:rsidP="002A6FC6">
            <w:pPr>
              <w:pStyle w:val="NormalArial"/>
              <w:rPr>
                <w:b/>
              </w:rPr>
            </w:pPr>
            <w:r w:rsidRPr="002A6FC6">
              <w:rPr>
                <w:b/>
              </w:rPr>
              <w:t>IFRS 15</w:t>
            </w:r>
          </w:p>
        </w:tc>
      </w:tr>
      <w:tr w:rsidR="009A30DE" w:rsidRPr="00F567C4" w14:paraId="75B51C42" w14:textId="77777777" w:rsidTr="002B6424">
        <w:trPr>
          <w:trHeight w:val="179"/>
        </w:trPr>
        <w:tc>
          <w:tcPr>
            <w:tcW w:w="10524" w:type="dxa"/>
            <w:gridSpan w:val="2"/>
            <w:tcBorders>
              <w:top w:val="single" w:sz="4" w:space="0" w:color="auto"/>
            </w:tcBorders>
          </w:tcPr>
          <w:p w14:paraId="0F70CEAA" w14:textId="400AED2A" w:rsidR="009A30DE" w:rsidRPr="005816B1" w:rsidRDefault="005816B1" w:rsidP="005816B1">
            <w:pPr>
              <w:pStyle w:val="NormalArial"/>
              <w:spacing w:after="120"/>
            </w:pPr>
            <w:r w:rsidRPr="005816B1">
              <w:t xml:space="preserve">On 17th April IHG issued new financial statements for 2016 and 2017 reflecting </w:t>
            </w:r>
            <w:r>
              <w:t xml:space="preserve">several reporting changes highlighted </w:t>
            </w:r>
            <w:r w:rsidR="002B6424">
              <w:t>at</w:t>
            </w:r>
            <w:r>
              <w:t xml:space="preserve"> our 2017 </w:t>
            </w:r>
            <w:r w:rsidR="002B6424">
              <w:t>full year results</w:t>
            </w:r>
            <w:r>
              <w:t xml:space="preserve">.  These include the </w:t>
            </w:r>
            <w:r w:rsidRPr="005816B1">
              <w:t xml:space="preserve">adoption of IFRS 15 </w:t>
            </w:r>
            <w:r>
              <w:t xml:space="preserve">Revenue from </w:t>
            </w:r>
            <w:r w:rsidRPr="005816B1">
              <w:t xml:space="preserve">Contracts with </w:t>
            </w:r>
            <w:r>
              <w:t>C</w:t>
            </w:r>
            <w:r w:rsidRPr="005816B1">
              <w:t>ustomers</w:t>
            </w:r>
            <w:r>
              <w:t>, the Group’s new regional structure, and the reporting of Fee Business results.  Further detail of these changes can be found at</w:t>
            </w:r>
            <w:r w:rsidRPr="005816B1">
              <w:t xml:space="preserve"> </w:t>
            </w:r>
            <w:r w:rsidRPr="002B6424">
              <w:rPr>
                <w:u w:val="single"/>
              </w:rPr>
              <w:t>https://www.ihgplc.com/investors/results-and-presentations</w:t>
            </w:r>
            <w:r>
              <w:t>.</w:t>
            </w:r>
          </w:p>
        </w:tc>
      </w:tr>
    </w:tbl>
    <w:p w14:paraId="680E4591" w14:textId="41BCF2CC" w:rsidR="003D70EF" w:rsidRDefault="003D70EF"/>
    <w:p w14:paraId="39A8841D" w14:textId="0DA7DB33" w:rsidR="00311C92" w:rsidRDefault="00311C92"/>
    <w:p w14:paraId="37D6F567" w14:textId="77777777" w:rsidR="00D67B17" w:rsidRDefault="00D67B17">
      <w:r>
        <w:br w:type="page"/>
      </w:r>
    </w:p>
    <w:tbl>
      <w:tblPr>
        <w:tblW w:w="11159" w:type="dxa"/>
        <w:tblInd w:w="10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0524"/>
        <w:gridCol w:w="635"/>
      </w:tblGrid>
      <w:tr w:rsidR="00B969F0" w:rsidRPr="002C5CBD" w14:paraId="5DEBC53D" w14:textId="77777777" w:rsidTr="003952AA">
        <w:trPr>
          <w:gridAfter w:val="1"/>
          <w:wAfter w:w="635" w:type="dxa"/>
        </w:trPr>
        <w:tc>
          <w:tcPr>
            <w:tcW w:w="10524" w:type="dxa"/>
            <w:tcBorders>
              <w:top w:val="nil"/>
              <w:left w:val="nil"/>
              <w:bottom w:val="nil"/>
              <w:right w:val="nil"/>
            </w:tcBorders>
          </w:tcPr>
          <w:p w14:paraId="0E409048" w14:textId="495E0AF3" w:rsidR="007434A8" w:rsidRPr="002C5CBD" w:rsidRDefault="007434A8" w:rsidP="005816B1">
            <w:pPr>
              <w:rPr>
                <w:rFonts w:ascii="Arial" w:hAnsi="Arial" w:cs="Arial"/>
                <w:b/>
              </w:rPr>
            </w:pPr>
            <w:r>
              <w:rPr>
                <w:rFonts w:ascii="Arial" w:hAnsi="Arial" w:cs="Arial"/>
                <w:b/>
              </w:rPr>
              <w:lastRenderedPageBreak/>
              <w:t>Appendix 1: First quarter RevPAR movement summary</w:t>
            </w:r>
          </w:p>
        </w:tc>
      </w:tr>
      <w:tr w:rsidR="004E33A8" w:rsidRPr="009D430E" w14:paraId="2A56AB62" w14:textId="77777777" w:rsidTr="003952AA">
        <w:tc>
          <w:tcPr>
            <w:tcW w:w="11159" w:type="dxa"/>
            <w:gridSpan w:val="2"/>
            <w:tcBorders>
              <w:top w:val="nil"/>
              <w:left w:val="nil"/>
              <w:bottom w:val="nil"/>
              <w:right w:val="nil"/>
            </w:tcBorders>
          </w:tcPr>
          <w:tbl>
            <w:tblPr>
              <w:tblW w:w="581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tblGrid>
            <w:tr w:rsidR="007434A8" w:rsidRPr="003952AA" w14:paraId="52C42AE8" w14:textId="77777777" w:rsidTr="007434A8">
              <w:tc>
                <w:tcPr>
                  <w:tcW w:w="1139" w:type="dxa"/>
                  <w:vMerge w:val="restart"/>
                  <w:tcBorders>
                    <w:top w:val="single" w:sz="4" w:space="0" w:color="auto"/>
                    <w:left w:val="single" w:sz="4" w:space="0" w:color="auto"/>
                    <w:bottom w:val="nil"/>
                    <w:right w:val="single" w:sz="4" w:space="0" w:color="auto"/>
                  </w:tcBorders>
                  <w:vAlign w:val="center"/>
                </w:tcPr>
                <w:p w14:paraId="0E534B5E" w14:textId="77777777" w:rsidR="007434A8" w:rsidRPr="00B969F0" w:rsidRDefault="007434A8" w:rsidP="00A830AC">
                  <w:pPr>
                    <w:spacing w:before="40"/>
                    <w:rPr>
                      <w:rFonts w:ascii="Arial" w:hAnsi="Arial" w:cs="Arial"/>
                      <w:b/>
                    </w:rPr>
                  </w:pPr>
                </w:p>
                <w:p w14:paraId="2C7F1404" w14:textId="77777777" w:rsidR="007434A8" w:rsidRPr="00B969F0" w:rsidRDefault="007434A8"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222FA024" w14:textId="02F66BDC" w:rsidR="007434A8" w:rsidRPr="003952AA" w:rsidRDefault="007434A8" w:rsidP="00A830AC">
                  <w:pPr>
                    <w:spacing w:before="40"/>
                    <w:jc w:val="center"/>
                    <w:rPr>
                      <w:rFonts w:ascii="Arial" w:hAnsi="Arial" w:cs="Arial"/>
                      <w:b/>
                    </w:rPr>
                  </w:pPr>
                  <w:r w:rsidRPr="003952AA">
                    <w:rPr>
                      <w:rFonts w:ascii="Arial" w:hAnsi="Arial" w:cs="Arial"/>
                      <w:b/>
                    </w:rPr>
                    <w:t>Q1 201</w:t>
                  </w:r>
                  <w:r w:rsidR="00A35CE0" w:rsidRPr="003952AA">
                    <w:rPr>
                      <w:rFonts w:ascii="Arial" w:hAnsi="Arial" w:cs="Arial"/>
                      <w:b/>
                    </w:rPr>
                    <w:t>8</w:t>
                  </w:r>
                </w:p>
              </w:tc>
            </w:tr>
            <w:tr w:rsidR="007434A8" w:rsidRPr="003952AA" w14:paraId="638BE742" w14:textId="77777777" w:rsidTr="007434A8">
              <w:tc>
                <w:tcPr>
                  <w:tcW w:w="1139" w:type="dxa"/>
                  <w:vMerge/>
                  <w:tcBorders>
                    <w:top w:val="nil"/>
                    <w:left w:val="single" w:sz="4" w:space="0" w:color="auto"/>
                    <w:bottom w:val="nil"/>
                    <w:right w:val="single" w:sz="4" w:space="0" w:color="auto"/>
                  </w:tcBorders>
                </w:tcPr>
                <w:p w14:paraId="4AAEF759" w14:textId="77777777" w:rsidR="007434A8" w:rsidRPr="003952AA" w:rsidRDefault="007434A8"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3553EED8" w14:textId="77777777" w:rsidR="007434A8" w:rsidRPr="003952AA" w:rsidRDefault="007434A8" w:rsidP="00A830AC">
                  <w:pPr>
                    <w:spacing w:before="40"/>
                    <w:jc w:val="center"/>
                    <w:rPr>
                      <w:rFonts w:ascii="Arial" w:hAnsi="Arial" w:cs="Arial"/>
                      <w:b/>
                    </w:rPr>
                  </w:pPr>
                  <w:r w:rsidRPr="003952AA">
                    <w:rPr>
                      <w:rFonts w:ascii="Arial" w:hAnsi="Arial" w:cs="Arial"/>
                      <w:b/>
                    </w:rPr>
                    <w:t>RevPAR</w:t>
                  </w:r>
                </w:p>
              </w:tc>
              <w:tc>
                <w:tcPr>
                  <w:tcW w:w="1559" w:type="dxa"/>
                  <w:tcBorders>
                    <w:top w:val="nil"/>
                    <w:left w:val="nil"/>
                    <w:bottom w:val="single" w:sz="4" w:space="0" w:color="auto"/>
                    <w:right w:val="nil"/>
                  </w:tcBorders>
                  <w:vAlign w:val="center"/>
                </w:tcPr>
                <w:p w14:paraId="6FFEA251" w14:textId="77777777" w:rsidR="007434A8" w:rsidRPr="003952AA" w:rsidRDefault="007434A8" w:rsidP="00A830AC">
                  <w:pPr>
                    <w:spacing w:before="40"/>
                    <w:jc w:val="center"/>
                    <w:rPr>
                      <w:rFonts w:ascii="Arial" w:hAnsi="Arial" w:cs="Arial"/>
                      <w:b/>
                    </w:rPr>
                  </w:pPr>
                  <w:r w:rsidRPr="003952AA">
                    <w:rPr>
                      <w:rFonts w:ascii="Arial" w:hAnsi="Arial" w:cs="Arial"/>
                      <w:b/>
                    </w:rPr>
                    <w:t>Rate</w:t>
                  </w:r>
                </w:p>
              </w:tc>
              <w:tc>
                <w:tcPr>
                  <w:tcW w:w="1559" w:type="dxa"/>
                  <w:tcBorders>
                    <w:top w:val="nil"/>
                    <w:left w:val="nil"/>
                    <w:bottom w:val="single" w:sz="4" w:space="0" w:color="auto"/>
                    <w:right w:val="single" w:sz="4" w:space="0" w:color="auto"/>
                  </w:tcBorders>
                  <w:vAlign w:val="center"/>
                </w:tcPr>
                <w:p w14:paraId="16A5F311" w14:textId="77777777" w:rsidR="007434A8" w:rsidRPr="003952AA" w:rsidRDefault="007434A8" w:rsidP="00A830AC">
                  <w:pPr>
                    <w:spacing w:before="40"/>
                    <w:jc w:val="center"/>
                    <w:rPr>
                      <w:rFonts w:ascii="Arial" w:hAnsi="Arial" w:cs="Arial"/>
                      <w:b/>
                    </w:rPr>
                  </w:pPr>
                  <w:r w:rsidRPr="003952AA">
                    <w:rPr>
                      <w:rFonts w:ascii="Arial" w:hAnsi="Arial" w:cs="Arial"/>
                      <w:b/>
                    </w:rPr>
                    <w:t>Occ.</w:t>
                  </w:r>
                </w:p>
              </w:tc>
            </w:tr>
            <w:tr w:rsidR="0008123D" w:rsidRPr="003952AA" w14:paraId="52EA10A0" w14:textId="77777777" w:rsidTr="00855A38">
              <w:tc>
                <w:tcPr>
                  <w:tcW w:w="1139" w:type="dxa"/>
                  <w:tcBorders>
                    <w:top w:val="nil"/>
                    <w:left w:val="single" w:sz="4" w:space="0" w:color="auto"/>
                    <w:bottom w:val="nil"/>
                    <w:right w:val="single" w:sz="4" w:space="0" w:color="auto"/>
                  </w:tcBorders>
                </w:tcPr>
                <w:p w14:paraId="0933A7C5" w14:textId="77777777" w:rsidR="0008123D" w:rsidRPr="003952AA" w:rsidRDefault="0008123D" w:rsidP="0008123D">
                  <w:pPr>
                    <w:spacing w:before="20" w:after="40"/>
                    <w:rPr>
                      <w:rFonts w:ascii="Arial" w:hAnsi="Arial" w:cs="Arial"/>
                      <w:b/>
                    </w:rPr>
                  </w:pPr>
                  <w:r w:rsidRPr="003952AA">
                    <w:rPr>
                      <w:rFonts w:ascii="Arial" w:hAnsi="Arial" w:cs="Arial"/>
                      <w:b/>
                    </w:rPr>
                    <w:t>Group</w:t>
                  </w:r>
                </w:p>
              </w:tc>
              <w:tc>
                <w:tcPr>
                  <w:tcW w:w="1555" w:type="dxa"/>
                  <w:tcBorders>
                    <w:top w:val="single" w:sz="4" w:space="0" w:color="auto"/>
                    <w:left w:val="single" w:sz="4" w:space="0" w:color="auto"/>
                    <w:bottom w:val="nil"/>
                    <w:right w:val="nil"/>
                  </w:tcBorders>
                  <w:vAlign w:val="bottom"/>
                </w:tcPr>
                <w:p w14:paraId="1DB7ED69" w14:textId="16CCCE3F" w:rsidR="0008123D" w:rsidRPr="003952AA" w:rsidRDefault="00A35CE0" w:rsidP="0008123D">
                  <w:pPr>
                    <w:spacing w:before="20" w:after="40"/>
                    <w:jc w:val="center"/>
                    <w:rPr>
                      <w:rFonts w:ascii="Arial" w:hAnsi="Arial" w:cs="Arial"/>
                      <w:b/>
                    </w:rPr>
                  </w:pPr>
                  <w:r w:rsidRPr="003952AA">
                    <w:rPr>
                      <w:rFonts w:ascii="Arial" w:hAnsi="Arial" w:cs="Arial"/>
                      <w:b/>
                    </w:rPr>
                    <w:t>3.5%</w:t>
                  </w:r>
                </w:p>
              </w:tc>
              <w:tc>
                <w:tcPr>
                  <w:tcW w:w="1559" w:type="dxa"/>
                  <w:tcBorders>
                    <w:top w:val="single" w:sz="4" w:space="0" w:color="auto"/>
                    <w:left w:val="nil"/>
                    <w:bottom w:val="nil"/>
                    <w:right w:val="nil"/>
                  </w:tcBorders>
                  <w:vAlign w:val="bottom"/>
                </w:tcPr>
                <w:p w14:paraId="341B9B81" w14:textId="68BDA23C" w:rsidR="0008123D" w:rsidRPr="003952AA" w:rsidRDefault="00A35CE0" w:rsidP="0008123D">
                  <w:pPr>
                    <w:spacing w:before="20" w:after="40"/>
                    <w:jc w:val="center"/>
                    <w:rPr>
                      <w:rFonts w:ascii="Arial" w:hAnsi="Arial" w:cs="Arial"/>
                      <w:b/>
                    </w:rPr>
                  </w:pPr>
                  <w:r w:rsidRPr="003952AA">
                    <w:rPr>
                      <w:rFonts w:ascii="Arial" w:hAnsi="Arial" w:cs="Arial"/>
                      <w:b/>
                    </w:rPr>
                    <w:t>1.9%</w:t>
                  </w:r>
                </w:p>
              </w:tc>
              <w:tc>
                <w:tcPr>
                  <w:tcW w:w="1559" w:type="dxa"/>
                  <w:tcBorders>
                    <w:top w:val="single" w:sz="4" w:space="0" w:color="auto"/>
                    <w:left w:val="nil"/>
                    <w:bottom w:val="nil"/>
                    <w:right w:val="single" w:sz="4" w:space="0" w:color="auto"/>
                  </w:tcBorders>
                  <w:vAlign w:val="bottom"/>
                </w:tcPr>
                <w:p w14:paraId="22296CD8" w14:textId="215F8D94" w:rsidR="0008123D" w:rsidRPr="003952AA" w:rsidRDefault="00A35CE0" w:rsidP="0008123D">
                  <w:pPr>
                    <w:spacing w:before="20" w:after="40"/>
                    <w:jc w:val="center"/>
                    <w:rPr>
                      <w:rFonts w:ascii="Arial" w:hAnsi="Arial" w:cs="Arial"/>
                      <w:b/>
                    </w:rPr>
                  </w:pPr>
                  <w:r w:rsidRPr="003952AA">
                    <w:rPr>
                      <w:rFonts w:ascii="Arial" w:hAnsi="Arial" w:cs="Arial"/>
                      <w:b/>
                    </w:rPr>
                    <w:t>1.0%pts</w:t>
                  </w:r>
                </w:p>
              </w:tc>
            </w:tr>
            <w:tr w:rsidR="0008123D" w:rsidRPr="003952AA" w14:paraId="7F5430BD" w14:textId="77777777" w:rsidTr="00855A38">
              <w:tc>
                <w:tcPr>
                  <w:tcW w:w="1139" w:type="dxa"/>
                  <w:tcBorders>
                    <w:top w:val="nil"/>
                    <w:left w:val="single" w:sz="4" w:space="0" w:color="auto"/>
                    <w:bottom w:val="nil"/>
                    <w:right w:val="single" w:sz="4" w:space="0" w:color="auto"/>
                  </w:tcBorders>
                </w:tcPr>
                <w:p w14:paraId="788CB6B1" w14:textId="77777777" w:rsidR="0008123D" w:rsidRPr="003952AA" w:rsidRDefault="0008123D" w:rsidP="0008123D">
                  <w:pPr>
                    <w:spacing w:before="20" w:after="40"/>
                    <w:rPr>
                      <w:rFonts w:ascii="Arial" w:hAnsi="Arial" w:cs="Arial"/>
                    </w:rPr>
                  </w:pPr>
                  <w:r w:rsidRPr="003952AA">
                    <w:rPr>
                      <w:rFonts w:ascii="Arial" w:hAnsi="Arial" w:cs="Arial"/>
                    </w:rPr>
                    <w:t>Americas</w:t>
                  </w:r>
                </w:p>
              </w:tc>
              <w:tc>
                <w:tcPr>
                  <w:tcW w:w="1555" w:type="dxa"/>
                  <w:tcBorders>
                    <w:top w:val="nil"/>
                    <w:left w:val="single" w:sz="4" w:space="0" w:color="auto"/>
                    <w:bottom w:val="nil"/>
                    <w:right w:val="nil"/>
                  </w:tcBorders>
                  <w:vAlign w:val="bottom"/>
                </w:tcPr>
                <w:p w14:paraId="4949AC12" w14:textId="296FAB7C" w:rsidR="0008123D" w:rsidRPr="003952AA" w:rsidRDefault="00A35CE0" w:rsidP="0008123D">
                  <w:pPr>
                    <w:spacing w:before="20" w:after="40"/>
                    <w:jc w:val="center"/>
                    <w:rPr>
                      <w:rFonts w:ascii="Arial" w:hAnsi="Arial" w:cs="Arial"/>
                    </w:rPr>
                  </w:pPr>
                  <w:r w:rsidRPr="003952AA">
                    <w:rPr>
                      <w:rFonts w:ascii="Arial" w:hAnsi="Arial" w:cs="Arial"/>
                    </w:rPr>
                    <w:t>2.9%</w:t>
                  </w:r>
                </w:p>
              </w:tc>
              <w:tc>
                <w:tcPr>
                  <w:tcW w:w="1559" w:type="dxa"/>
                  <w:tcBorders>
                    <w:top w:val="nil"/>
                    <w:left w:val="nil"/>
                    <w:bottom w:val="nil"/>
                    <w:right w:val="nil"/>
                  </w:tcBorders>
                  <w:vAlign w:val="bottom"/>
                </w:tcPr>
                <w:p w14:paraId="2A5B0D7A" w14:textId="241ED327" w:rsidR="0008123D" w:rsidRPr="003952AA" w:rsidRDefault="00A35CE0" w:rsidP="0008123D">
                  <w:pPr>
                    <w:spacing w:before="20" w:after="40"/>
                    <w:jc w:val="center"/>
                    <w:rPr>
                      <w:rFonts w:ascii="Arial" w:hAnsi="Arial" w:cs="Arial"/>
                    </w:rPr>
                  </w:pPr>
                  <w:r w:rsidRPr="003952AA">
                    <w:rPr>
                      <w:rFonts w:ascii="Arial" w:hAnsi="Arial" w:cs="Arial"/>
                    </w:rPr>
                    <w:t>2.0%</w:t>
                  </w:r>
                </w:p>
              </w:tc>
              <w:tc>
                <w:tcPr>
                  <w:tcW w:w="1559" w:type="dxa"/>
                  <w:tcBorders>
                    <w:top w:val="nil"/>
                    <w:left w:val="nil"/>
                    <w:bottom w:val="nil"/>
                    <w:right w:val="single" w:sz="4" w:space="0" w:color="auto"/>
                  </w:tcBorders>
                  <w:vAlign w:val="bottom"/>
                </w:tcPr>
                <w:p w14:paraId="0220BA1F" w14:textId="4A8C8C06" w:rsidR="0008123D" w:rsidRPr="003952AA" w:rsidRDefault="00A35CE0" w:rsidP="0008123D">
                  <w:pPr>
                    <w:spacing w:before="20" w:after="40"/>
                    <w:jc w:val="center"/>
                    <w:rPr>
                      <w:rFonts w:ascii="Arial" w:hAnsi="Arial" w:cs="Arial"/>
                    </w:rPr>
                  </w:pPr>
                  <w:r w:rsidRPr="003952AA">
                    <w:rPr>
                      <w:rFonts w:ascii="Arial" w:hAnsi="Arial" w:cs="Arial"/>
                    </w:rPr>
                    <w:t>0.6%pts</w:t>
                  </w:r>
                </w:p>
              </w:tc>
            </w:tr>
            <w:tr w:rsidR="0008123D" w:rsidRPr="003952AA" w14:paraId="0911C774" w14:textId="77777777" w:rsidTr="00855A38">
              <w:trPr>
                <w:trHeight w:val="80"/>
              </w:trPr>
              <w:tc>
                <w:tcPr>
                  <w:tcW w:w="1139" w:type="dxa"/>
                  <w:tcBorders>
                    <w:top w:val="nil"/>
                    <w:left w:val="single" w:sz="4" w:space="0" w:color="auto"/>
                    <w:bottom w:val="nil"/>
                    <w:right w:val="single" w:sz="4" w:space="0" w:color="auto"/>
                  </w:tcBorders>
                </w:tcPr>
                <w:p w14:paraId="78AC53F6" w14:textId="7F0AA751" w:rsidR="0008123D" w:rsidRPr="003952AA" w:rsidRDefault="00A35CE0" w:rsidP="0008123D">
                  <w:pPr>
                    <w:spacing w:before="20" w:after="40"/>
                    <w:rPr>
                      <w:rFonts w:ascii="Arial" w:hAnsi="Arial" w:cs="Arial"/>
                    </w:rPr>
                  </w:pPr>
                  <w:r w:rsidRPr="003952AA">
                    <w:rPr>
                      <w:rFonts w:ascii="Arial" w:hAnsi="Arial" w:cs="Arial"/>
                    </w:rPr>
                    <w:t>E</w:t>
                  </w:r>
                  <w:r w:rsidR="0008123D" w:rsidRPr="003952AA">
                    <w:rPr>
                      <w:rFonts w:ascii="Arial" w:hAnsi="Arial" w:cs="Arial"/>
                    </w:rPr>
                    <w:t>MEA</w:t>
                  </w:r>
                  <w:r w:rsidRPr="003952AA">
                    <w:rPr>
                      <w:rFonts w:ascii="Arial" w:hAnsi="Arial" w:cs="Arial"/>
                    </w:rPr>
                    <w:t>A</w:t>
                  </w:r>
                </w:p>
              </w:tc>
              <w:tc>
                <w:tcPr>
                  <w:tcW w:w="1555" w:type="dxa"/>
                  <w:tcBorders>
                    <w:top w:val="nil"/>
                    <w:left w:val="single" w:sz="4" w:space="0" w:color="auto"/>
                    <w:bottom w:val="nil"/>
                    <w:right w:val="nil"/>
                  </w:tcBorders>
                  <w:vAlign w:val="bottom"/>
                </w:tcPr>
                <w:p w14:paraId="061DF883" w14:textId="49BBC7A8" w:rsidR="0008123D" w:rsidRPr="003952AA" w:rsidRDefault="00A35CE0" w:rsidP="0008123D">
                  <w:pPr>
                    <w:spacing w:before="20" w:after="40"/>
                    <w:jc w:val="center"/>
                    <w:rPr>
                      <w:rFonts w:ascii="Arial" w:hAnsi="Arial" w:cs="Arial"/>
                    </w:rPr>
                  </w:pPr>
                  <w:r w:rsidRPr="003952AA">
                    <w:rPr>
                      <w:rFonts w:ascii="Arial" w:hAnsi="Arial" w:cs="Arial"/>
                    </w:rPr>
                    <w:t>2.9%</w:t>
                  </w:r>
                </w:p>
              </w:tc>
              <w:tc>
                <w:tcPr>
                  <w:tcW w:w="1559" w:type="dxa"/>
                  <w:tcBorders>
                    <w:top w:val="nil"/>
                    <w:left w:val="nil"/>
                    <w:bottom w:val="nil"/>
                    <w:right w:val="nil"/>
                  </w:tcBorders>
                  <w:vAlign w:val="bottom"/>
                </w:tcPr>
                <w:p w14:paraId="46D35BAF" w14:textId="0AD8E92F" w:rsidR="0008123D" w:rsidRPr="003952AA" w:rsidRDefault="00A35CE0" w:rsidP="0008123D">
                  <w:pPr>
                    <w:spacing w:before="20" w:after="40"/>
                    <w:jc w:val="center"/>
                    <w:rPr>
                      <w:rFonts w:ascii="Arial" w:hAnsi="Arial" w:cs="Arial"/>
                    </w:rPr>
                  </w:pPr>
                  <w:r w:rsidRPr="003952AA">
                    <w:rPr>
                      <w:rFonts w:ascii="Arial" w:hAnsi="Arial" w:cs="Arial"/>
                    </w:rPr>
                    <w:t>1.7%</w:t>
                  </w:r>
                </w:p>
              </w:tc>
              <w:tc>
                <w:tcPr>
                  <w:tcW w:w="1559" w:type="dxa"/>
                  <w:tcBorders>
                    <w:top w:val="nil"/>
                    <w:left w:val="nil"/>
                    <w:bottom w:val="nil"/>
                    <w:right w:val="single" w:sz="4" w:space="0" w:color="auto"/>
                  </w:tcBorders>
                  <w:vAlign w:val="bottom"/>
                </w:tcPr>
                <w:p w14:paraId="357114DA" w14:textId="155D423D" w:rsidR="0008123D" w:rsidRPr="003952AA" w:rsidRDefault="00A35CE0" w:rsidP="0008123D">
                  <w:pPr>
                    <w:spacing w:before="20" w:after="40"/>
                    <w:jc w:val="center"/>
                    <w:rPr>
                      <w:rFonts w:ascii="Arial" w:hAnsi="Arial" w:cs="Arial"/>
                    </w:rPr>
                  </w:pPr>
                  <w:r w:rsidRPr="003952AA">
                    <w:rPr>
                      <w:rFonts w:ascii="Arial" w:hAnsi="Arial" w:cs="Arial"/>
                    </w:rPr>
                    <w:t>0.8%pts</w:t>
                  </w:r>
                </w:p>
              </w:tc>
            </w:tr>
            <w:tr w:rsidR="0008123D" w:rsidRPr="003952AA" w14:paraId="29A1E00F" w14:textId="77777777" w:rsidTr="00855A38">
              <w:trPr>
                <w:trHeight w:val="128"/>
              </w:trPr>
              <w:tc>
                <w:tcPr>
                  <w:tcW w:w="1139" w:type="dxa"/>
                  <w:tcBorders>
                    <w:top w:val="nil"/>
                    <w:left w:val="single" w:sz="4" w:space="0" w:color="auto"/>
                    <w:bottom w:val="single" w:sz="4" w:space="0" w:color="auto"/>
                    <w:right w:val="single" w:sz="4" w:space="0" w:color="auto"/>
                  </w:tcBorders>
                </w:tcPr>
                <w:p w14:paraId="0A1D5B13" w14:textId="77777777" w:rsidR="0008123D" w:rsidRPr="003952AA" w:rsidRDefault="0008123D" w:rsidP="0008123D">
                  <w:pPr>
                    <w:spacing w:before="20" w:after="40"/>
                    <w:rPr>
                      <w:rFonts w:ascii="Arial" w:hAnsi="Arial" w:cs="Arial"/>
                    </w:rPr>
                  </w:pPr>
                  <w:r w:rsidRPr="003952AA">
                    <w:rPr>
                      <w:rFonts w:ascii="Arial" w:hAnsi="Arial" w:cs="Arial"/>
                    </w:rPr>
                    <w:t>G. China</w:t>
                  </w:r>
                </w:p>
              </w:tc>
              <w:tc>
                <w:tcPr>
                  <w:tcW w:w="1555" w:type="dxa"/>
                  <w:tcBorders>
                    <w:top w:val="nil"/>
                    <w:left w:val="single" w:sz="4" w:space="0" w:color="auto"/>
                    <w:bottom w:val="single" w:sz="4" w:space="0" w:color="auto"/>
                    <w:right w:val="nil"/>
                  </w:tcBorders>
                  <w:vAlign w:val="bottom"/>
                </w:tcPr>
                <w:p w14:paraId="233BA8A4" w14:textId="7D57A045" w:rsidR="0008123D" w:rsidRPr="003952AA" w:rsidRDefault="00A35CE0" w:rsidP="0008123D">
                  <w:pPr>
                    <w:spacing w:before="20" w:after="40"/>
                    <w:jc w:val="center"/>
                    <w:rPr>
                      <w:rFonts w:ascii="Arial" w:hAnsi="Arial" w:cs="Arial"/>
                    </w:rPr>
                  </w:pPr>
                  <w:r w:rsidRPr="003952AA">
                    <w:rPr>
                      <w:rFonts w:ascii="Arial" w:hAnsi="Arial" w:cs="Arial"/>
                    </w:rPr>
                    <w:t>11.0%</w:t>
                  </w:r>
                </w:p>
              </w:tc>
              <w:tc>
                <w:tcPr>
                  <w:tcW w:w="1559" w:type="dxa"/>
                  <w:tcBorders>
                    <w:top w:val="nil"/>
                    <w:left w:val="nil"/>
                    <w:bottom w:val="single" w:sz="4" w:space="0" w:color="auto"/>
                    <w:right w:val="nil"/>
                  </w:tcBorders>
                  <w:vAlign w:val="bottom"/>
                </w:tcPr>
                <w:p w14:paraId="42C17305" w14:textId="36FC40D9" w:rsidR="0008123D" w:rsidRPr="003952AA" w:rsidRDefault="00A35CE0" w:rsidP="0008123D">
                  <w:pPr>
                    <w:spacing w:before="20" w:after="40"/>
                    <w:jc w:val="center"/>
                    <w:rPr>
                      <w:rFonts w:ascii="Arial" w:hAnsi="Arial" w:cs="Arial"/>
                    </w:rPr>
                  </w:pPr>
                  <w:r w:rsidRPr="003952AA">
                    <w:rPr>
                      <w:rFonts w:ascii="Arial" w:hAnsi="Arial" w:cs="Arial"/>
                    </w:rPr>
                    <w:t>3.9%</w:t>
                  </w:r>
                </w:p>
              </w:tc>
              <w:tc>
                <w:tcPr>
                  <w:tcW w:w="1559" w:type="dxa"/>
                  <w:tcBorders>
                    <w:top w:val="nil"/>
                    <w:left w:val="nil"/>
                    <w:bottom w:val="single" w:sz="4" w:space="0" w:color="auto"/>
                    <w:right w:val="single" w:sz="4" w:space="0" w:color="auto"/>
                  </w:tcBorders>
                  <w:vAlign w:val="bottom"/>
                </w:tcPr>
                <w:p w14:paraId="12665FAF" w14:textId="510006A0" w:rsidR="0008123D" w:rsidRPr="003952AA" w:rsidRDefault="00A35CE0" w:rsidP="0008123D">
                  <w:pPr>
                    <w:spacing w:before="20" w:after="40"/>
                    <w:jc w:val="center"/>
                    <w:rPr>
                      <w:rFonts w:ascii="Arial" w:hAnsi="Arial" w:cs="Arial"/>
                    </w:rPr>
                  </w:pPr>
                  <w:r w:rsidRPr="003952AA">
                    <w:rPr>
                      <w:rFonts w:ascii="Arial" w:hAnsi="Arial" w:cs="Arial"/>
                    </w:rPr>
                    <w:t>3.9%pts</w:t>
                  </w:r>
                </w:p>
              </w:tc>
            </w:tr>
          </w:tbl>
          <w:p w14:paraId="04DE8919" w14:textId="77777777" w:rsidR="007434A8" w:rsidRPr="003952AA" w:rsidRDefault="007434A8" w:rsidP="007434A8">
            <w:pPr>
              <w:rPr>
                <w:rFonts w:ascii="Arial" w:hAnsi="Arial" w:cs="Arial"/>
                <w:b/>
              </w:rPr>
            </w:pPr>
          </w:p>
          <w:p w14:paraId="39E594FC" w14:textId="683E342F" w:rsidR="007434A8" w:rsidRPr="003952AA" w:rsidRDefault="007434A8" w:rsidP="007434A8">
            <w:pPr>
              <w:spacing w:before="60" w:after="60"/>
              <w:rPr>
                <w:rFonts w:ascii="Arial" w:hAnsi="Arial" w:cs="Arial"/>
                <w:b/>
                <w:sz w:val="18"/>
                <w:szCs w:val="18"/>
              </w:rPr>
            </w:pPr>
            <w:r w:rsidRPr="003952AA">
              <w:rPr>
                <w:rFonts w:ascii="Arial" w:hAnsi="Arial" w:cs="Arial"/>
                <w:b/>
              </w:rPr>
              <w:t>Appendix 2: RevPAR at constant exchange rates (CER) vs. actual exchange rates (AER)</w:t>
            </w:r>
          </w:p>
          <w:tbl>
            <w:tblPr>
              <w:tblW w:w="581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tblGrid>
            <w:tr w:rsidR="007434A8" w:rsidRPr="003952AA" w14:paraId="3362955B" w14:textId="77777777" w:rsidTr="007434A8">
              <w:tc>
                <w:tcPr>
                  <w:tcW w:w="1139" w:type="dxa"/>
                  <w:vMerge w:val="restart"/>
                  <w:tcBorders>
                    <w:top w:val="single" w:sz="4" w:space="0" w:color="auto"/>
                    <w:left w:val="single" w:sz="4" w:space="0" w:color="auto"/>
                    <w:bottom w:val="nil"/>
                    <w:right w:val="single" w:sz="4" w:space="0" w:color="auto"/>
                  </w:tcBorders>
                  <w:vAlign w:val="center"/>
                </w:tcPr>
                <w:p w14:paraId="2E90C466" w14:textId="77777777" w:rsidR="007434A8" w:rsidRPr="003952AA" w:rsidRDefault="007434A8" w:rsidP="00A830AC">
                  <w:pPr>
                    <w:spacing w:before="40"/>
                    <w:rPr>
                      <w:rFonts w:ascii="Arial" w:hAnsi="Arial" w:cs="Arial"/>
                      <w:b/>
                    </w:rPr>
                  </w:pPr>
                </w:p>
                <w:p w14:paraId="02CB4C8F" w14:textId="77777777" w:rsidR="007434A8" w:rsidRPr="003952AA" w:rsidRDefault="007434A8"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4C44B2B6" w14:textId="1750E29B" w:rsidR="007434A8" w:rsidRPr="003952AA" w:rsidRDefault="007434A8" w:rsidP="00A830AC">
                  <w:pPr>
                    <w:spacing w:before="40"/>
                    <w:jc w:val="center"/>
                    <w:rPr>
                      <w:rFonts w:ascii="Arial" w:hAnsi="Arial" w:cs="Arial"/>
                      <w:b/>
                    </w:rPr>
                  </w:pPr>
                  <w:r w:rsidRPr="003952AA">
                    <w:rPr>
                      <w:rFonts w:ascii="Arial" w:hAnsi="Arial" w:cs="Arial"/>
                      <w:b/>
                    </w:rPr>
                    <w:t>Q1 201</w:t>
                  </w:r>
                  <w:r w:rsidR="00577DA6" w:rsidRPr="003952AA">
                    <w:rPr>
                      <w:rFonts w:ascii="Arial" w:hAnsi="Arial" w:cs="Arial"/>
                      <w:b/>
                    </w:rPr>
                    <w:t>8</w:t>
                  </w:r>
                </w:p>
              </w:tc>
            </w:tr>
            <w:tr w:rsidR="007434A8" w:rsidRPr="003952AA" w14:paraId="7EFC0EF7" w14:textId="77777777" w:rsidTr="007434A8">
              <w:trPr>
                <w:trHeight w:val="286"/>
              </w:trPr>
              <w:tc>
                <w:tcPr>
                  <w:tcW w:w="1139" w:type="dxa"/>
                  <w:vMerge/>
                  <w:tcBorders>
                    <w:top w:val="nil"/>
                    <w:left w:val="single" w:sz="4" w:space="0" w:color="auto"/>
                    <w:bottom w:val="nil"/>
                    <w:right w:val="single" w:sz="4" w:space="0" w:color="auto"/>
                  </w:tcBorders>
                </w:tcPr>
                <w:p w14:paraId="6808A5FD" w14:textId="77777777" w:rsidR="007434A8" w:rsidRPr="003952AA" w:rsidRDefault="007434A8"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2ED4C443" w14:textId="77777777" w:rsidR="007434A8" w:rsidRPr="003952AA" w:rsidRDefault="007434A8" w:rsidP="00A830AC">
                  <w:pPr>
                    <w:spacing w:before="60" w:after="60"/>
                    <w:jc w:val="center"/>
                    <w:rPr>
                      <w:rFonts w:ascii="Arial" w:hAnsi="Arial" w:cs="Arial"/>
                      <w:b/>
                    </w:rPr>
                  </w:pPr>
                  <w:r w:rsidRPr="003952AA">
                    <w:rPr>
                      <w:rFonts w:ascii="Arial" w:hAnsi="Arial" w:cs="Arial"/>
                      <w:b/>
                    </w:rPr>
                    <w:t>CER</w:t>
                  </w:r>
                </w:p>
              </w:tc>
              <w:tc>
                <w:tcPr>
                  <w:tcW w:w="1559" w:type="dxa"/>
                  <w:tcBorders>
                    <w:top w:val="nil"/>
                    <w:left w:val="nil"/>
                    <w:bottom w:val="single" w:sz="4" w:space="0" w:color="auto"/>
                    <w:right w:val="nil"/>
                  </w:tcBorders>
                  <w:vAlign w:val="center"/>
                </w:tcPr>
                <w:p w14:paraId="337A00A7" w14:textId="77777777" w:rsidR="007434A8" w:rsidRPr="003952AA" w:rsidRDefault="007434A8" w:rsidP="00A830AC">
                  <w:pPr>
                    <w:spacing w:before="60" w:after="60"/>
                    <w:jc w:val="center"/>
                    <w:rPr>
                      <w:rFonts w:ascii="Arial" w:hAnsi="Arial" w:cs="Arial"/>
                      <w:b/>
                    </w:rPr>
                  </w:pPr>
                  <w:r w:rsidRPr="003952AA">
                    <w:rPr>
                      <w:rFonts w:ascii="Arial" w:hAnsi="Arial" w:cs="Arial"/>
                      <w:b/>
                    </w:rPr>
                    <w:t>AER</w:t>
                  </w:r>
                </w:p>
              </w:tc>
              <w:tc>
                <w:tcPr>
                  <w:tcW w:w="1559" w:type="dxa"/>
                  <w:tcBorders>
                    <w:top w:val="nil"/>
                    <w:left w:val="nil"/>
                    <w:bottom w:val="single" w:sz="4" w:space="0" w:color="auto"/>
                    <w:right w:val="single" w:sz="4" w:space="0" w:color="auto"/>
                  </w:tcBorders>
                  <w:vAlign w:val="center"/>
                </w:tcPr>
                <w:p w14:paraId="6A77D6FD" w14:textId="77777777" w:rsidR="007434A8" w:rsidRPr="003952AA" w:rsidRDefault="007434A8" w:rsidP="00A830AC">
                  <w:pPr>
                    <w:spacing w:before="60" w:after="60"/>
                    <w:jc w:val="center"/>
                    <w:rPr>
                      <w:rFonts w:ascii="Arial" w:hAnsi="Arial" w:cs="Arial"/>
                      <w:b/>
                    </w:rPr>
                  </w:pPr>
                  <w:r w:rsidRPr="003952AA">
                    <w:rPr>
                      <w:rFonts w:ascii="Arial" w:hAnsi="Arial" w:cs="Arial"/>
                      <w:b/>
                    </w:rPr>
                    <w:t>Difference</w:t>
                  </w:r>
                </w:p>
              </w:tc>
            </w:tr>
            <w:tr w:rsidR="00577DA6" w:rsidRPr="003952AA" w14:paraId="5B837902" w14:textId="77777777" w:rsidTr="00855A38">
              <w:tc>
                <w:tcPr>
                  <w:tcW w:w="1139" w:type="dxa"/>
                  <w:tcBorders>
                    <w:top w:val="nil"/>
                    <w:left w:val="single" w:sz="4" w:space="0" w:color="auto"/>
                    <w:bottom w:val="nil"/>
                    <w:right w:val="single" w:sz="4" w:space="0" w:color="auto"/>
                  </w:tcBorders>
                </w:tcPr>
                <w:p w14:paraId="26D7143D" w14:textId="77777777" w:rsidR="00577DA6" w:rsidRPr="003952AA" w:rsidRDefault="00577DA6" w:rsidP="00577DA6">
                  <w:pPr>
                    <w:spacing w:before="20" w:after="40"/>
                    <w:rPr>
                      <w:rFonts w:ascii="Arial" w:hAnsi="Arial" w:cs="Arial"/>
                      <w:b/>
                    </w:rPr>
                  </w:pPr>
                  <w:r w:rsidRPr="003952AA">
                    <w:rPr>
                      <w:rFonts w:ascii="Arial" w:hAnsi="Arial" w:cs="Arial"/>
                      <w:b/>
                    </w:rPr>
                    <w:t>Group</w:t>
                  </w:r>
                </w:p>
              </w:tc>
              <w:tc>
                <w:tcPr>
                  <w:tcW w:w="1555" w:type="dxa"/>
                  <w:tcBorders>
                    <w:top w:val="single" w:sz="4" w:space="0" w:color="auto"/>
                    <w:left w:val="single" w:sz="4" w:space="0" w:color="auto"/>
                    <w:bottom w:val="nil"/>
                    <w:right w:val="nil"/>
                  </w:tcBorders>
                  <w:vAlign w:val="bottom"/>
                </w:tcPr>
                <w:p w14:paraId="24304167" w14:textId="28AFF7D7" w:rsidR="00577DA6" w:rsidRPr="003952AA" w:rsidRDefault="00577DA6" w:rsidP="00577DA6">
                  <w:pPr>
                    <w:spacing w:before="20" w:after="40"/>
                    <w:jc w:val="center"/>
                    <w:rPr>
                      <w:rFonts w:ascii="Arial" w:hAnsi="Arial" w:cs="Arial"/>
                      <w:b/>
                    </w:rPr>
                  </w:pPr>
                  <w:r w:rsidRPr="003952AA">
                    <w:rPr>
                      <w:rFonts w:ascii="Arial" w:hAnsi="Arial" w:cs="Arial"/>
                      <w:b/>
                    </w:rPr>
                    <w:t>3.5%</w:t>
                  </w:r>
                </w:p>
              </w:tc>
              <w:tc>
                <w:tcPr>
                  <w:tcW w:w="1559" w:type="dxa"/>
                  <w:tcBorders>
                    <w:top w:val="single" w:sz="4" w:space="0" w:color="auto"/>
                    <w:left w:val="nil"/>
                    <w:bottom w:val="nil"/>
                    <w:right w:val="nil"/>
                  </w:tcBorders>
                  <w:vAlign w:val="bottom"/>
                </w:tcPr>
                <w:p w14:paraId="6A49CCB4" w14:textId="6B18099E" w:rsidR="00577DA6" w:rsidRPr="003952AA" w:rsidRDefault="00577DA6" w:rsidP="00577DA6">
                  <w:pPr>
                    <w:spacing w:before="20" w:after="40"/>
                    <w:jc w:val="center"/>
                    <w:rPr>
                      <w:rFonts w:ascii="Arial" w:hAnsi="Arial" w:cs="Arial"/>
                      <w:b/>
                    </w:rPr>
                  </w:pPr>
                  <w:r w:rsidRPr="003952AA">
                    <w:rPr>
                      <w:rFonts w:ascii="Arial" w:hAnsi="Arial" w:cs="Arial"/>
                      <w:b/>
                    </w:rPr>
                    <w:t>6.5%</w:t>
                  </w:r>
                </w:p>
              </w:tc>
              <w:tc>
                <w:tcPr>
                  <w:tcW w:w="1559" w:type="dxa"/>
                  <w:tcBorders>
                    <w:top w:val="single" w:sz="4" w:space="0" w:color="auto"/>
                    <w:left w:val="nil"/>
                    <w:bottom w:val="nil"/>
                    <w:right w:val="single" w:sz="4" w:space="0" w:color="auto"/>
                  </w:tcBorders>
                  <w:vAlign w:val="bottom"/>
                </w:tcPr>
                <w:p w14:paraId="2C3F0FC0" w14:textId="438F566F" w:rsidR="00577DA6" w:rsidRPr="003952AA" w:rsidRDefault="00577DA6" w:rsidP="00577DA6">
                  <w:pPr>
                    <w:spacing w:before="20" w:after="40"/>
                    <w:jc w:val="center"/>
                    <w:rPr>
                      <w:rFonts w:ascii="Arial" w:hAnsi="Arial" w:cs="Arial"/>
                      <w:b/>
                    </w:rPr>
                  </w:pPr>
                  <w:r w:rsidRPr="003952AA">
                    <w:rPr>
                      <w:rFonts w:ascii="Arial" w:hAnsi="Arial" w:cs="Arial"/>
                      <w:b/>
                    </w:rPr>
                    <w:t>(</w:t>
                  </w:r>
                  <w:proofErr w:type="gramStart"/>
                  <w:r w:rsidRPr="003952AA">
                    <w:rPr>
                      <w:rFonts w:ascii="Arial" w:hAnsi="Arial" w:cs="Arial"/>
                      <w:b/>
                    </w:rPr>
                    <w:t>3.0)%</w:t>
                  </w:r>
                  <w:proofErr w:type="gramEnd"/>
                  <w:r w:rsidRPr="003952AA">
                    <w:rPr>
                      <w:rFonts w:ascii="Arial" w:hAnsi="Arial" w:cs="Arial"/>
                      <w:b/>
                    </w:rPr>
                    <w:t>pts</w:t>
                  </w:r>
                </w:p>
              </w:tc>
            </w:tr>
            <w:tr w:rsidR="00577DA6" w:rsidRPr="003952AA" w14:paraId="3AE99775" w14:textId="77777777" w:rsidTr="00855A38">
              <w:tc>
                <w:tcPr>
                  <w:tcW w:w="1139" w:type="dxa"/>
                  <w:tcBorders>
                    <w:top w:val="nil"/>
                    <w:left w:val="single" w:sz="4" w:space="0" w:color="auto"/>
                    <w:bottom w:val="nil"/>
                    <w:right w:val="single" w:sz="4" w:space="0" w:color="auto"/>
                  </w:tcBorders>
                </w:tcPr>
                <w:p w14:paraId="5DC63005" w14:textId="77777777" w:rsidR="00577DA6" w:rsidRPr="003952AA" w:rsidRDefault="00577DA6" w:rsidP="00577DA6">
                  <w:pPr>
                    <w:spacing w:before="20" w:after="40"/>
                    <w:rPr>
                      <w:rFonts w:ascii="Arial" w:hAnsi="Arial" w:cs="Arial"/>
                    </w:rPr>
                  </w:pPr>
                  <w:r w:rsidRPr="003952AA">
                    <w:rPr>
                      <w:rFonts w:ascii="Arial" w:hAnsi="Arial" w:cs="Arial"/>
                    </w:rPr>
                    <w:t>Americas</w:t>
                  </w:r>
                </w:p>
              </w:tc>
              <w:tc>
                <w:tcPr>
                  <w:tcW w:w="1555" w:type="dxa"/>
                  <w:tcBorders>
                    <w:top w:val="nil"/>
                    <w:left w:val="single" w:sz="4" w:space="0" w:color="auto"/>
                    <w:bottom w:val="nil"/>
                    <w:right w:val="nil"/>
                  </w:tcBorders>
                  <w:vAlign w:val="bottom"/>
                </w:tcPr>
                <w:p w14:paraId="172D180B" w14:textId="01C3CDFF" w:rsidR="00577DA6" w:rsidRPr="003952AA" w:rsidRDefault="00577DA6" w:rsidP="00577DA6">
                  <w:pPr>
                    <w:spacing w:before="20" w:after="40"/>
                    <w:jc w:val="center"/>
                    <w:rPr>
                      <w:rFonts w:ascii="Arial" w:hAnsi="Arial" w:cs="Arial"/>
                    </w:rPr>
                  </w:pPr>
                  <w:r w:rsidRPr="003952AA">
                    <w:rPr>
                      <w:rFonts w:ascii="Arial" w:hAnsi="Arial" w:cs="Arial"/>
                    </w:rPr>
                    <w:t>2.9%</w:t>
                  </w:r>
                </w:p>
              </w:tc>
              <w:tc>
                <w:tcPr>
                  <w:tcW w:w="1559" w:type="dxa"/>
                  <w:tcBorders>
                    <w:top w:val="nil"/>
                    <w:left w:val="nil"/>
                    <w:bottom w:val="nil"/>
                    <w:right w:val="nil"/>
                  </w:tcBorders>
                  <w:vAlign w:val="bottom"/>
                </w:tcPr>
                <w:p w14:paraId="38002AE0" w14:textId="4FB6D44B" w:rsidR="00577DA6" w:rsidRPr="003952AA" w:rsidRDefault="00577DA6" w:rsidP="00577DA6">
                  <w:pPr>
                    <w:spacing w:before="20" w:after="40"/>
                    <w:jc w:val="center"/>
                    <w:rPr>
                      <w:rFonts w:ascii="Arial" w:hAnsi="Arial" w:cs="Arial"/>
                    </w:rPr>
                  </w:pPr>
                  <w:r w:rsidRPr="003952AA">
                    <w:rPr>
                      <w:rFonts w:ascii="Arial" w:hAnsi="Arial" w:cs="Arial"/>
                    </w:rPr>
                    <w:t>3.2%</w:t>
                  </w:r>
                </w:p>
              </w:tc>
              <w:tc>
                <w:tcPr>
                  <w:tcW w:w="1559" w:type="dxa"/>
                  <w:tcBorders>
                    <w:top w:val="nil"/>
                    <w:left w:val="nil"/>
                    <w:bottom w:val="nil"/>
                    <w:right w:val="single" w:sz="4" w:space="0" w:color="auto"/>
                  </w:tcBorders>
                  <w:vAlign w:val="bottom"/>
                </w:tcPr>
                <w:p w14:paraId="797994C9" w14:textId="33DB379B" w:rsidR="00577DA6" w:rsidRPr="003952AA" w:rsidRDefault="00577DA6" w:rsidP="00577DA6">
                  <w:pPr>
                    <w:spacing w:before="20" w:after="40"/>
                    <w:jc w:val="center"/>
                    <w:rPr>
                      <w:rFonts w:ascii="Arial" w:hAnsi="Arial" w:cs="Arial"/>
                    </w:rPr>
                  </w:pPr>
                  <w:r w:rsidRPr="003952AA">
                    <w:rPr>
                      <w:rFonts w:ascii="Arial" w:hAnsi="Arial" w:cs="Arial"/>
                    </w:rPr>
                    <w:t>(</w:t>
                  </w:r>
                  <w:proofErr w:type="gramStart"/>
                  <w:r w:rsidRPr="003952AA">
                    <w:rPr>
                      <w:rFonts w:ascii="Arial" w:hAnsi="Arial" w:cs="Arial"/>
                    </w:rPr>
                    <w:t>0.3)%</w:t>
                  </w:r>
                  <w:proofErr w:type="gramEnd"/>
                  <w:r w:rsidRPr="003952AA">
                    <w:rPr>
                      <w:rFonts w:ascii="Arial" w:hAnsi="Arial" w:cs="Arial"/>
                    </w:rPr>
                    <w:t>pts</w:t>
                  </w:r>
                </w:p>
              </w:tc>
            </w:tr>
            <w:tr w:rsidR="00577DA6" w:rsidRPr="003952AA" w14:paraId="76988816" w14:textId="77777777" w:rsidTr="00855A38">
              <w:trPr>
                <w:trHeight w:val="80"/>
              </w:trPr>
              <w:tc>
                <w:tcPr>
                  <w:tcW w:w="1139" w:type="dxa"/>
                  <w:tcBorders>
                    <w:top w:val="nil"/>
                    <w:left w:val="single" w:sz="4" w:space="0" w:color="auto"/>
                    <w:bottom w:val="nil"/>
                    <w:right w:val="single" w:sz="4" w:space="0" w:color="auto"/>
                  </w:tcBorders>
                </w:tcPr>
                <w:p w14:paraId="04F16076" w14:textId="66CA6941" w:rsidR="00577DA6" w:rsidRPr="003952AA" w:rsidRDefault="00577DA6" w:rsidP="00577DA6">
                  <w:pPr>
                    <w:spacing w:before="20" w:after="40"/>
                    <w:rPr>
                      <w:rFonts w:ascii="Arial" w:hAnsi="Arial" w:cs="Arial"/>
                    </w:rPr>
                  </w:pPr>
                  <w:r w:rsidRPr="003952AA">
                    <w:rPr>
                      <w:rFonts w:ascii="Arial" w:hAnsi="Arial" w:cs="Arial"/>
                    </w:rPr>
                    <w:t>EMEAA</w:t>
                  </w:r>
                </w:p>
              </w:tc>
              <w:tc>
                <w:tcPr>
                  <w:tcW w:w="1555" w:type="dxa"/>
                  <w:tcBorders>
                    <w:top w:val="nil"/>
                    <w:left w:val="single" w:sz="4" w:space="0" w:color="auto"/>
                    <w:bottom w:val="nil"/>
                    <w:right w:val="nil"/>
                  </w:tcBorders>
                  <w:vAlign w:val="bottom"/>
                </w:tcPr>
                <w:p w14:paraId="3B0E44E4" w14:textId="4FC26FC6" w:rsidR="00577DA6" w:rsidRPr="003952AA" w:rsidRDefault="00577DA6" w:rsidP="00577DA6">
                  <w:pPr>
                    <w:spacing w:before="20" w:after="40"/>
                    <w:jc w:val="center"/>
                    <w:rPr>
                      <w:rFonts w:ascii="Arial" w:hAnsi="Arial" w:cs="Arial"/>
                    </w:rPr>
                  </w:pPr>
                  <w:r w:rsidRPr="003952AA">
                    <w:rPr>
                      <w:rFonts w:ascii="Arial" w:hAnsi="Arial" w:cs="Arial"/>
                    </w:rPr>
                    <w:t>2.9%</w:t>
                  </w:r>
                </w:p>
              </w:tc>
              <w:tc>
                <w:tcPr>
                  <w:tcW w:w="1559" w:type="dxa"/>
                  <w:tcBorders>
                    <w:top w:val="nil"/>
                    <w:left w:val="nil"/>
                    <w:bottom w:val="nil"/>
                    <w:right w:val="nil"/>
                  </w:tcBorders>
                  <w:vAlign w:val="bottom"/>
                </w:tcPr>
                <w:p w14:paraId="2D75B73F" w14:textId="32734534" w:rsidR="00577DA6" w:rsidRPr="003952AA" w:rsidRDefault="00577DA6" w:rsidP="00577DA6">
                  <w:pPr>
                    <w:spacing w:before="20" w:after="40"/>
                    <w:jc w:val="center"/>
                    <w:rPr>
                      <w:rFonts w:ascii="Arial" w:hAnsi="Arial" w:cs="Arial"/>
                    </w:rPr>
                  </w:pPr>
                  <w:r w:rsidRPr="003952AA">
                    <w:rPr>
                      <w:rFonts w:ascii="Arial" w:hAnsi="Arial" w:cs="Arial"/>
                    </w:rPr>
                    <w:t>11.3%</w:t>
                  </w:r>
                </w:p>
              </w:tc>
              <w:tc>
                <w:tcPr>
                  <w:tcW w:w="1559" w:type="dxa"/>
                  <w:tcBorders>
                    <w:top w:val="nil"/>
                    <w:left w:val="nil"/>
                    <w:bottom w:val="nil"/>
                    <w:right w:val="single" w:sz="4" w:space="0" w:color="auto"/>
                  </w:tcBorders>
                  <w:vAlign w:val="bottom"/>
                </w:tcPr>
                <w:p w14:paraId="1803AC41" w14:textId="682B3882" w:rsidR="00577DA6" w:rsidRPr="003952AA" w:rsidRDefault="00577DA6" w:rsidP="00577DA6">
                  <w:pPr>
                    <w:spacing w:before="20" w:after="40"/>
                    <w:jc w:val="center"/>
                    <w:rPr>
                      <w:rFonts w:ascii="Arial" w:hAnsi="Arial" w:cs="Arial"/>
                    </w:rPr>
                  </w:pPr>
                  <w:r w:rsidRPr="003952AA">
                    <w:rPr>
                      <w:rFonts w:ascii="Arial" w:hAnsi="Arial" w:cs="Arial"/>
                    </w:rPr>
                    <w:t>(</w:t>
                  </w:r>
                  <w:proofErr w:type="gramStart"/>
                  <w:r w:rsidRPr="003952AA">
                    <w:rPr>
                      <w:rFonts w:ascii="Arial" w:hAnsi="Arial" w:cs="Arial"/>
                    </w:rPr>
                    <w:t>8.4)%</w:t>
                  </w:r>
                  <w:proofErr w:type="gramEnd"/>
                  <w:r w:rsidRPr="003952AA">
                    <w:rPr>
                      <w:rFonts w:ascii="Arial" w:hAnsi="Arial" w:cs="Arial"/>
                    </w:rPr>
                    <w:t>pts</w:t>
                  </w:r>
                </w:p>
              </w:tc>
            </w:tr>
            <w:tr w:rsidR="00577DA6" w:rsidRPr="003952AA" w14:paraId="16391AD7" w14:textId="77777777" w:rsidTr="0015723F">
              <w:trPr>
                <w:trHeight w:val="128"/>
              </w:trPr>
              <w:tc>
                <w:tcPr>
                  <w:tcW w:w="1139" w:type="dxa"/>
                  <w:tcBorders>
                    <w:top w:val="nil"/>
                    <w:left w:val="single" w:sz="4" w:space="0" w:color="auto"/>
                    <w:bottom w:val="single" w:sz="4" w:space="0" w:color="auto"/>
                    <w:right w:val="single" w:sz="4" w:space="0" w:color="auto"/>
                  </w:tcBorders>
                </w:tcPr>
                <w:p w14:paraId="54A9BE02" w14:textId="77777777" w:rsidR="00577DA6" w:rsidRPr="003952AA" w:rsidRDefault="00577DA6" w:rsidP="00577DA6">
                  <w:pPr>
                    <w:spacing w:before="20" w:after="40"/>
                    <w:rPr>
                      <w:rFonts w:ascii="Arial" w:hAnsi="Arial" w:cs="Arial"/>
                    </w:rPr>
                  </w:pPr>
                  <w:r w:rsidRPr="003952AA">
                    <w:rPr>
                      <w:rFonts w:ascii="Arial" w:hAnsi="Arial" w:cs="Arial"/>
                    </w:rPr>
                    <w:t>G. China</w:t>
                  </w:r>
                </w:p>
              </w:tc>
              <w:tc>
                <w:tcPr>
                  <w:tcW w:w="1555" w:type="dxa"/>
                  <w:tcBorders>
                    <w:top w:val="nil"/>
                    <w:left w:val="single" w:sz="4" w:space="0" w:color="auto"/>
                    <w:bottom w:val="single" w:sz="4" w:space="0" w:color="auto"/>
                    <w:right w:val="nil"/>
                  </w:tcBorders>
                  <w:vAlign w:val="bottom"/>
                </w:tcPr>
                <w:p w14:paraId="0EEB430C" w14:textId="7146EB5A" w:rsidR="00577DA6" w:rsidRPr="003952AA" w:rsidRDefault="00577DA6" w:rsidP="00577DA6">
                  <w:pPr>
                    <w:spacing w:before="20" w:after="40"/>
                    <w:jc w:val="center"/>
                    <w:rPr>
                      <w:rFonts w:ascii="Arial" w:hAnsi="Arial" w:cs="Arial"/>
                    </w:rPr>
                  </w:pPr>
                  <w:r w:rsidRPr="003952AA">
                    <w:rPr>
                      <w:rFonts w:ascii="Arial" w:hAnsi="Arial" w:cs="Arial"/>
                    </w:rPr>
                    <w:t>11.0%</w:t>
                  </w:r>
                </w:p>
              </w:tc>
              <w:tc>
                <w:tcPr>
                  <w:tcW w:w="1559" w:type="dxa"/>
                  <w:tcBorders>
                    <w:top w:val="nil"/>
                    <w:left w:val="nil"/>
                    <w:bottom w:val="single" w:sz="4" w:space="0" w:color="auto"/>
                    <w:right w:val="nil"/>
                  </w:tcBorders>
                  <w:vAlign w:val="bottom"/>
                </w:tcPr>
                <w:p w14:paraId="7277E18C" w14:textId="08AD83A9" w:rsidR="00577DA6" w:rsidRPr="003952AA" w:rsidRDefault="00577DA6" w:rsidP="00577DA6">
                  <w:pPr>
                    <w:spacing w:before="20" w:after="40"/>
                    <w:jc w:val="center"/>
                    <w:rPr>
                      <w:rFonts w:ascii="Arial" w:hAnsi="Arial" w:cs="Arial"/>
                    </w:rPr>
                  </w:pPr>
                  <w:r w:rsidRPr="003952AA">
                    <w:rPr>
                      <w:rFonts w:ascii="Arial" w:hAnsi="Arial" w:cs="Arial"/>
                    </w:rPr>
                    <w:t>18.3%</w:t>
                  </w:r>
                </w:p>
              </w:tc>
              <w:tc>
                <w:tcPr>
                  <w:tcW w:w="1559" w:type="dxa"/>
                  <w:tcBorders>
                    <w:top w:val="nil"/>
                    <w:left w:val="nil"/>
                    <w:bottom w:val="single" w:sz="4" w:space="0" w:color="auto"/>
                    <w:right w:val="single" w:sz="4" w:space="0" w:color="auto"/>
                  </w:tcBorders>
                  <w:vAlign w:val="bottom"/>
                </w:tcPr>
                <w:p w14:paraId="7C14AEEB" w14:textId="3A0EB346" w:rsidR="00577DA6" w:rsidRPr="003952AA" w:rsidRDefault="00577DA6" w:rsidP="00577DA6">
                  <w:pPr>
                    <w:spacing w:before="20" w:after="40"/>
                    <w:jc w:val="center"/>
                    <w:rPr>
                      <w:rFonts w:ascii="Arial" w:hAnsi="Arial" w:cs="Arial"/>
                    </w:rPr>
                  </w:pPr>
                  <w:r w:rsidRPr="003952AA">
                    <w:rPr>
                      <w:rFonts w:ascii="Arial" w:hAnsi="Arial" w:cs="Arial"/>
                    </w:rPr>
                    <w:t>(</w:t>
                  </w:r>
                  <w:proofErr w:type="gramStart"/>
                  <w:r w:rsidRPr="003952AA">
                    <w:rPr>
                      <w:rFonts w:ascii="Arial" w:hAnsi="Arial" w:cs="Arial"/>
                    </w:rPr>
                    <w:t>7.3)%</w:t>
                  </w:r>
                  <w:proofErr w:type="gramEnd"/>
                  <w:r w:rsidRPr="003952AA">
                    <w:rPr>
                      <w:rFonts w:ascii="Arial" w:hAnsi="Arial" w:cs="Arial"/>
                    </w:rPr>
                    <w:t>pts</w:t>
                  </w:r>
                </w:p>
              </w:tc>
            </w:tr>
          </w:tbl>
          <w:p w14:paraId="26D9893E" w14:textId="77777777" w:rsidR="00B60683" w:rsidRPr="003952AA" w:rsidRDefault="00B60683" w:rsidP="00A830AC">
            <w:pPr>
              <w:spacing w:before="60" w:after="60"/>
              <w:rPr>
                <w:rFonts w:ascii="Arial" w:hAnsi="Arial" w:cs="Arial"/>
                <w:b/>
                <w:sz w:val="18"/>
                <w:szCs w:val="18"/>
              </w:rPr>
            </w:pPr>
          </w:p>
          <w:tbl>
            <w:tblPr>
              <w:tblW w:w="10416" w:type="dxa"/>
              <w:tblBorders>
                <w:top w:val="single" w:sz="12" w:space="0" w:color="auto"/>
                <w:left w:val="single" w:sz="12" w:space="0" w:color="auto"/>
                <w:bottom w:val="single" w:sz="12" w:space="0" w:color="auto"/>
                <w:right w:val="single" w:sz="12" w:space="0" w:color="auto"/>
              </w:tblBorders>
              <w:tblLayout w:type="fixed"/>
              <w:tblCellMar>
                <w:right w:w="170" w:type="dxa"/>
              </w:tblCellMar>
              <w:tblLook w:val="00A0" w:firstRow="1" w:lastRow="0" w:firstColumn="1" w:lastColumn="0" w:noHBand="0" w:noVBand="0"/>
            </w:tblPr>
            <w:tblGrid>
              <w:gridCol w:w="2160"/>
              <w:gridCol w:w="1276"/>
              <w:gridCol w:w="1276"/>
              <w:gridCol w:w="1276"/>
              <w:gridCol w:w="1275"/>
              <w:gridCol w:w="993"/>
              <w:gridCol w:w="1134"/>
              <w:gridCol w:w="1026"/>
            </w:tblGrid>
            <w:tr w:rsidR="00B60683" w:rsidRPr="003952AA" w14:paraId="09CEF03C" w14:textId="77777777" w:rsidTr="00337C80">
              <w:tc>
                <w:tcPr>
                  <w:tcW w:w="10416" w:type="dxa"/>
                  <w:gridSpan w:val="8"/>
                  <w:tcBorders>
                    <w:top w:val="nil"/>
                    <w:left w:val="nil"/>
                    <w:bottom w:val="single" w:sz="4" w:space="0" w:color="auto"/>
                    <w:right w:val="nil"/>
                  </w:tcBorders>
                  <w:tcMar>
                    <w:left w:w="57" w:type="dxa"/>
                  </w:tcMar>
                </w:tcPr>
                <w:p w14:paraId="0272D12A" w14:textId="08911A9D" w:rsidR="00B60683" w:rsidRPr="003952AA" w:rsidRDefault="00B60683" w:rsidP="00337C80">
                  <w:pPr>
                    <w:ind w:left="-40"/>
                    <w:rPr>
                      <w:rFonts w:ascii="Arial" w:hAnsi="Arial" w:cs="Arial"/>
                      <w:b/>
                    </w:rPr>
                  </w:pPr>
                  <w:r w:rsidRPr="003952AA">
                    <w:rPr>
                      <w:rFonts w:ascii="Arial" w:hAnsi="Arial" w:cs="Arial"/>
                      <w:b/>
                    </w:rPr>
                    <w:t xml:space="preserve">Appendix 3: </w:t>
                  </w:r>
                  <w:r w:rsidR="007434A8" w:rsidRPr="003952AA">
                    <w:rPr>
                      <w:rFonts w:ascii="Arial" w:hAnsi="Arial" w:cs="Arial"/>
                      <w:b/>
                    </w:rPr>
                    <w:t>Q1</w:t>
                  </w:r>
                  <w:r w:rsidRPr="003952AA">
                    <w:rPr>
                      <w:rFonts w:ascii="Arial" w:hAnsi="Arial" w:cs="Arial"/>
                      <w:b/>
                    </w:rPr>
                    <w:t xml:space="preserve"> system &amp; pipeline summary (rooms) </w:t>
                  </w:r>
                </w:p>
              </w:tc>
            </w:tr>
            <w:tr w:rsidR="00B60683" w:rsidRPr="003952AA" w14:paraId="16F4FC92" w14:textId="77777777" w:rsidTr="00333CFC">
              <w:tc>
                <w:tcPr>
                  <w:tcW w:w="2160" w:type="dxa"/>
                  <w:vMerge w:val="restart"/>
                  <w:tcBorders>
                    <w:top w:val="single" w:sz="4" w:space="0" w:color="auto"/>
                    <w:left w:val="single" w:sz="4" w:space="0" w:color="auto"/>
                    <w:bottom w:val="nil"/>
                    <w:right w:val="single" w:sz="4" w:space="0" w:color="auto"/>
                  </w:tcBorders>
                </w:tcPr>
                <w:p w14:paraId="62E2D536" w14:textId="77777777" w:rsidR="00B60683" w:rsidRPr="003952AA" w:rsidRDefault="00B60683" w:rsidP="00A830AC">
                  <w:pPr>
                    <w:spacing w:before="60" w:after="60"/>
                    <w:rPr>
                      <w:rFonts w:ascii="Arial" w:hAnsi="Arial" w:cs="Arial"/>
                    </w:rPr>
                  </w:pPr>
                </w:p>
              </w:tc>
              <w:tc>
                <w:tcPr>
                  <w:tcW w:w="6096" w:type="dxa"/>
                  <w:gridSpan w:val="5"/>
                  <w:tcBorders>
                    <w:top w:val="single" w:sz="4" w:space="0" w:color="auto"/>
                    <w:left w:val="single" w:sz="4" w:space="0" w:color="auto"/>
                    <w:bottom w:val="nil"/>
                    <w:right w:val="single" w:sz="4" w:space="0" w:color="auto"/>
                  </w:tcBorders>
                </w:tcPr>
                <w:p w14:paraId="331A57EB" w14:textId="77777777" w:rsidR="00B60683" w:rsidRPr="003952AA" w:rsidRDefault="00B60683" w:rsidP="00A830AC">
                  <w:pPr>
                    <w:spacing w:before="60" w:after="60"/>
                    <w:jc w:val="center"/>
                    <w:rPr>
                      <w:rFonts w:ascii="Arial" w:hAnsi="Arial" w:cs="Arial"/>
                      <w:b/>
                    </w:rPr>
                  </w:pPr>
                  <w:r w:rsidRPr="003952AA">
                    <w:rPr>
                      <w:rFonts w:ascii="Arial" w:hAnsi="Arial" w:cs="Arial"/>
                      <w:b/>
                    </w:rPr>
                    <w:t>System</w:t>
                  </w:r>
                </w:p>
              </w:tc>
              <w:tc>
                <w:tcPr>
                  <w:tcW w:w="2160" w:type="dxa"/>
                  <w:gridSpan w:val="2"/>
                  <w:tcBorders>
                    <w:top w:val="single" w:sz="4" w:space="0" w:color="auto"/>
                    <w:left w:val="single" w:sz="4" w:space="0" w:color="auto"/>
                    <w:bottom w:val="nil"/>
                    <w:right w:val="single" w:sz="4" w:space="0" w:color="auto"/>
                  </w:tcBorders>
                </w:tcPr>
                <w:p w14:paraId="14AB9EBA" w14:textId="77777777" w:rsidR="00B60683" w:rsidRPr="003952AA" w:rsidRDefault="00B60683" w:rsidP="00A830AC">
                  <w:pPr>
                    <w:spacing w:before="60" w:after="60"/>
                    <w:jc w:val="center"/>
                    <w:rPr>
                      <w:rFonts w:ascii="Arial" w:hAnsi="Arial" w:cs="Arial"/>
                      <w:b/>
                    </w:rPr>
                  </w:pPr>
                  <w:r w:rsidRPr="003952AA">
                    <w:rPr>
                      <w:rFonts w:ascii="Arial" w:hAnsi="Arial" w:cs="Arial"/>
                      <w:b/>
                    </w:rPr>
                    <w:t>Pipeline</w:t>
                  </w:r>
                </w:p>
              </w:tc>
            </w:tr>
            <w:tr w:rsidR="00B60683" w:rsidRPr="003952AA" w14:paraId="085BE02A" w14:textId="77777777" w:rsidTr="001F7C62">
              <w:trPr>
                <w:trHeight w:val="325"/>
              </w:trPr>
              <w:tc>
                <w:tcPr>
                  <w:tcW w:w="2160" w:type="dxa"/>
                  <w:vMerge/>
                  <w:tcBorders>
                    <w:top w:val="nil"/>
                    <w:left w:val="single" w:sz="4" w:space="0" w:color="auto"/>
                    <w:bottom w:val="nil"/>
                    <w:right w:val="single" w:sz="4" w:space="0" w:color="auto"/>
                  </w:tcBorders>
                </w:tcPr>
                <w:p w14:paraId="4F8A2CF4" w14:textId="77777777" w:rsidR="00B60683" w:rsidRPr="003952AA" w:rsidRDefault="00B60683" w:rsidP="00A830AC">
                  <w:pPr>
                    <w:spacing w:before="60" w:after="60"/>
                    <w:rPr>
                      <w:rFonts w:ascii="Arial" w:hAnsi="Arial" w:cs="Arial"/>
                    </w:rPr>
                  </w:pPr>
                </w:p>
              </w:tc>
              <w:tc>
                <w:tcPr>
                  <w:tcW w:w="1276" w:type="dxa"/>
                  <w:tcBorders>
                    <w:top w:val="nil"/>
                    <w:left w:val="single" w:sz="4" w:space="0" w:color="auto"/>
                    <w:bottom w:val="single" w:sz="4" w:space="0" w:color="auto"/>
                    <w:right w:val="nil"/>
                  </w:tcBorders>
                </w:tcPr>
                <w:p w14:paraId="02EB6429" w14:textId="77777777" w:rsidR="00B60683" w:rsidRPr="003952AA" w:rsidRDefault="00B60683" w:rsidP="00A830AC">
                  <w:pPr>
                    <w:spacing w:before="60" w:after="60"/>
                    <w:jc w:val="right"/>
                    <w:rPr>
                      <w:rFonts w:ascii="Arial" w:hAnsi="Arial" w:cs="Arial"/>
                      <w:b/>
                    </w:rPr>
                  </w:pPr>
                  <w:r w:rsidRPr="003952AA">
                    <w:rPr>
                      <w:rFonts w:ascii="Arial" w:hAnsi="Arial" w:cs="Arial"/>
                      <w:b/>
                    </w:rPr>
                    <w:t>Openings</w:t>
                  </w:r>
                </w:p>
              </w:tc>
              <w:tc>
                <w:tcPr>
                  <w:tcW w:w="1276" w:type="dxa"/>
                  <w:tcBorders>
                    <w:top w:val="nil"/>
                    <w:left w:val="nil"/>
                    <w:bottom w:val="single" w:sz="4" w:space="0" w:color="auto"/>
                    <w:right w:val="nil"/>
                  </w:tcBorders>
                </w:tcPr>
                <w:p w14:paraId="1B6E325E" w14:textId="77777777" w:rsidR="00B60683" w:rsidRPr="003952AA" w:rsidRDefault="00B60683" w:rsidP="00A830AC">
                  <w:pPr>
                    <w:spacing w:before="60" w:after="60"/>
                    <w:jc w:val="right"/>
                    <w:rPr>
                      <w:rFonts w:ascii="Arial" w:hAnsi="Arial" w:cs="Arial"/>
                      <w:b/>
                    </w:rPr>
                  </w:pPr>
                  <w:r w:rsidRPr="003952AA">
                    <w:rPr>
                      <w:rFonts w:ascii="Arial" w:hAnsi="Arial" w:cs="Arial"/>
                      <w:b/>
                    </w:rPr>
                    <w:t>Removals</w:t>
                  </w:r>
                </w:p>
              </w:tc>
              <w:tc>
                <w:tcPr>
                  <w:tcW w:w="1276" w:type="dxa"/>
                  <w:tcBorders>
                    <w:top w:val="nil"/>
                    <w:left w:val="nil"/>
                    <w:bottom w:val="single" w:sz="4" w:space="0" w:color="auto"/>
                    <w:right w:val="nil"/>
                  </w:tcBorders>
                </w:tcPr>
                <w:p w14:paraId="6D8EFFD6" w14:textId="77777777" w:rsidR="00B60683" w:rsidRPr="003952AA" w:rsidRDefault="00B60683" w:rsidP="00A830AC">
                  <w:pPr>
                    <w:spacing w:before="60" w:after="60"/>
                    <w:jc w:val="right"/>
                    <w:rPr>
                      <w:rFonts w:ascii="Arial" w:hAnsi="Arial" w:cs="Arial"/>
                      <w:b/>
                    </w:rPr>
                  </w:pPr>
                  <w:r w:rsidRPr="003952AA">
                    <w:rPr>
                      <w:rFonts w:ascii="Arial" w:hAnsi="Arial" w:cs="Arial"/>
                      <w:b/>
                    </w:rPr>
                    <w:t>Net</w:t>
                  </w:r>
                </w:p>
              </w:tc>
              <w:tc>
                <w:tcPr>
                  <w:tcW w:w="1275" w:type="dxa"/>
                  <w:tcBorders>
                    <w:top w:val="nil"/>
                    <w:left w:val="nil"/>
                    <w:bottom w:val="single" w:sz="4" w:space="0" w:color="auto"/>
                    <w:right w:val="nil"/>
                  </w:tcBorders>
                </w:tcPr>
                <w:p w14:paraId="21F9B4B9" w14:textId="77777777" w:rsidR="00B60683" w:rsidRPr="003952AA" w:rsidRDefault="00B60683" w:rsidP="00A830AC">
                  <w:pPr>
                    <w:spacing w:before="60" w:after="60"/>
                    <w:jc w:val="right"/>
                    <w:rPr>
                      <w:rFonts w:ascii="Arial" w:hAnsi="Arial" w:cs="Arial"/>
                      <w:b/>
                    </w:rPr>
                  </w:pPr>
                  <w:r w:rsidRPr="003952AA">
                    <w:rPr>
                      <w:rFonts w:ascii="Arial" w:hAnsi="Arial" w:cs="Arial"/>
                      <w:b/>
                    </w:rPr>
                    <w:t>Total</w:t>
                  </w:r>
                </w:p>
              </w:tc>
              <w:tc>
                <w:tcPr>
                  <w:tcW w:w="993" w:type="dxa"/>
                  <w:tcBorders>
                    <w:top w:val="nil"/>
                    <w:left w:val="nil"/>
                    <w:bottom w:val="single" w:sz="4" w:space="0" w:color="auto"/>
                    <w:right w:val="single" w:sz="4" w:space="0" w:color="auto"/>
                  </w:tcBorders>
                </w:tcPr>
                <w:p w14:paraId="0396D9FA" w14:textId="6FD16893" w:rsidR="00971A96" w:rsidRPr="003952AA" w:rsidRDefault="00DB0741" w:rsidP="001F7C62">
                  <w:pPr>
                    <w:spacing w:before="60" w:after="60"/>
                    <w:jc w:val="right"/>
                    <w:rPr>
                      <w:rFonts w:ascii="Arial" w:hAnsi="Arial" w:cs="Arial"/>
                      <w:b/>
                    </w:rPr>
                  </w:pPr>
                  <w:r w:rsidRPr="003952AA">
                    <w:rPr>
                      <w:rFonts w:ascii="Arial" w:hAnsi="Arial" w:cs="Arial"/>
                      <w:b/>
                    </w:rPr>
                    <w:t>YoY%</w:t>
                  </w:r>
                </w:p>
              </w:tc>
              <w:tc>
                <w:tcPr>
                  <w:tcW w:w="1134" w:type="dxa"/>
                  <w:tcBorders>
                    <w:top w:val="nil"/>
                    <w:left w:val="single" w:sz="4" w:space="0" w:color="auto"/>
                    <w:bottom w:val="single" w:sz="4" w:space="0" w:color="auto"/>
                    <w:right w:val="nil"/>
                  </w:tcBorders>
                </w:tcPr>
                <w:p w14:paraId="4D350B36" w14:textId="77777777" w:rsidR="00B60683" w:rsidRPr="003952AA" w:rsidRDefault="00B60683" w:rsidP="00A830AC">
                  <w:pPr>
                    <w:spacing w:before="60" w:after="60"/>
                    <w:jc w:val="right"/>
                    <w:rPr>
                      <w:rFonts w:ascii="Arial" w:hAnsi="Arial" w:cs="Arial"/>
                      <w:b/>
                    </w:rPr>
                  </w:pPr>
                  <w:r w:rsidRPr="003952AA">
                    <w:rPr>
                      <w:rFonts w:ascii="Arial" w:hAnsi="Arial" w:cs="Arial"/>
                      <w:b/>
                    </w:rPr>
                    <w:t>Signings</w:t>
                  </w:r>
                </w:p>
              </w:tc>
              <w:tc>
                <w:tcPr>
                  <w:tcW w:w="1026" w:type="dxa"/>
                  <w:tcBorders>
                    <w:top w:val="nil"/>
                    <w:left w:val="nil"/>
                    <w:bottom w:val="single" w:sz="4" w:space="0" w:color="auto"/>
                    <w:right w:val="single" w:sz="4" w:space="0" w:color="auto"/>
                  </w:tcBorders>
                </w:tcPr>
                <w:p w14:paraId="06FBE3B9" w14:textId="77777777" w:rsidR="00B60683" w:rsidRPr="003952AA" w:rsidRDefault="00B60683" w:rsidP="00A830AC">
                  <w:pPr>
                    <w:spacing w:before="60" w:after="60"/>
                    <w:jc w:val="right"/>
                    <w:rPr>
                      <w:rFonts w:ascii="Arial" w:hAnsi="Arial" w:cs="Arial"/>
                      <w:b/>
                    </w:rPr>
                  </w:pPr>
                  <w:r w:rsidRPr="003952AA">
                    <w:rPr>
                      <w:rFonts w:ascii="Arial" w:hAnsi="Arial" w:cs="Arial"/>
                      <w:b/>
                    </w:rPr>
                    <w:t>Total</w:t>
                  </w:r>
                </w:p>
              </w:tc>
            </w:tr>
            <w:tr w:rsidR="0008123D" w:rsidRPr="003952AA" w14:paraId="1C23B2B7" w14:textId="77777777" w:rsidTr="00855A38">
              <w:trPr>
                <w:trHeight w:val="270"/>
              </w:trPr>
              <w:tc>
                <w:tcPr>
                  <w:tcW w:w="2160" w:type="dxa"/>
                  <w:tcBorders>
                    <w:top w:val="nil"/>
                    <w:left w:val="single" w:sz="4" w:space="0" w:color="auto"/>
                    <w:bottom w:val="nil"/>
                    <w:right w:val="single" w:sz="4" w:space="0" w:color="auto"/>
                  </w:tcBorders>
                </w:tcPr>
                <w:p w14:paraId="47B36853" w14:textId="77777777" w:rsidR="0008123D" w:rsidRPr="003952AA" w:rsidRDefault="0008123D" w:rsidP="0008123D">
                  <w:pPr>
                    <w:spacing w:before="20" w:after="40"/>
                    <w:rPr>
                      <w:rFonts w:ascii="Arial" w:hAnsi="Arial" w:cs="Arial"/>
                      <w:b/>
                    </w:rPr>
                  </w:pPr>
                  <w:r w:rsidRPr="003952AA">
                    <w:rPr>
                      <w:rFonts w:ascii="Arial" w:hAnsi="Arial" w:cs="Arial"/>
                      <w:b/>
                    </w:rPr>
                    <w:t>Group</w:t>
                  </w:r>
                </w:p>
              </w:tc>
              <w:tc>
                <w:tcPr>
                  <w:tcW w:w="1276" w:type="dxa"/>
                  <w:tcBorders>
                    <w:top w:val="single" w:sz="4" w:space="0" w:color="auto"/>
                    <w:left w:val="single" w:sz="4" w:space="0" w:color="auto"/>
                    <w:bottom w:val="nil"/>
                    <w:right w:val="nil"/>
                  </w:tcBorders>
                  <w:vAlign w:val="bottom"/>
                </w:tcPr>
                <w:p w14:paraId="48B6136A" w14:textId="736E3910" w:rsidR="0008123D" w:rsidRPr="003952AA" w:rsidRDefault="00577DA6" w:rsidP="0008123D">
                  <w:pPr>
                    <w:spacing w:before="20" w:after="40"/>
                    <w:jc w:val="right"/>
                    <w:rPr>
                      <w:rFonts w:ascii="Arial" w:hAnsi="Arial" w:cs="Arial"/>
                      <w:b/>
                    </w:rPr>
                  </w:pPr>
                  <w:r w:rsidRPr="003952AA">
                    <w:rPr>
                      <w:rFonts w:ascii="Arial" w:hAnsi="Arial" w:cs="Arial"/>
                      <w:b/>
                    </w:rPr>
                    <w:t>7,920</w:t>
                  </w:r>
                </w:p>
              </w:tc>
              <w:tc>
                <w:tcPr>
                  <w:tcW w:w="1276" w:type="dxa"/>
                  <w:tcBorders>
                    <w:top w:val="single" w:sz="4" w:space="0" w:color="auto"/>
                    <w:left w:val="nil"/>
                    <w:bottom w:val="nil"/>
                    <w:right w:val="nil"/>
                  </w:tcBorders>
                  <w:vAlign w:val="bottom"/>
                </w:tcPr>
                <w:p w14:paraId="0C13AC7E" w14:textId="1BD2285D" w:rsidR="0008123D" w:rsidRPr="003952AA" w:rsidRDefault="00577DA6" w:rsidP="0008123D">
                  <w:pPr>
                    <w:spacing w:before="20" w:after="40"/>
                    <w:jc w:val="right"/>
                    <w:rPr>
                      <w:rFonts w:ascii="Arial" w:hAnsi="Arial" w:cs="Arial"/>
                      <w:b/>
                    </w:rPr>
                  </w:pPr>
                  <w:r w:rsidRPr="003952AA">
                    <w:rPr>
                      <w:rFonts w:ascii="Arial" w:hAnsi="Arial" w:cs="Arial"/>
                      <w:b/>
                    </w:rPr>
                    <w:t>(6,072)</w:t>
                  </w:r>
                </w:p>
              </w:tc>
              <w:tc>
                <w:tcPr>
                  <w:tcW w:w="1276" w:type="dxa"/>
                  <w:tcBorders>
                    <w:top w:val="single" w:sz="4" w:space="0" w:color="auto"/>
                    <w:left w:val="nil"/>
                    <w:bottom w:val="nil"/>
                    <w:right w:val="nil"/>
                  </w:tcBorders>
                  <w:vAlign w:val="bottom"/>
                </w:tcPr>
                <w:p w14:paraId="69CD0F39" w14:textId="1F2A8AB5" w:rsidR="0008123D" w:rsidRPr="003952AA" w:rsidRDefault="00577DA6" w:rsidP="0008123D">
                  <w:pPr>
                    <w:spacing w:before="20" w:after="40"/>
                    <w:jc w:val="right"/>
                    <w:rPr>
                      <w:rFonts w:ascii="Arial" w:hAnsi="Arial" w:cs="Arial"/>
                      <w:b/>
                    </w:rPr>
                  </w:pPr>
                  <w:r w:rsidRPr="003952AA">
                    <w:rPr>
                      <w:rFonts w:ascii="Arial" w:hAnsi="Arial" w:cs="Arial"/>
                      <w:b/>
                    </w:rPr>
                    <w:t>1,848</w:t>
                  </w:r>
                </w:p>
              </w:tc>
              <w:tc>
                <w:tcPr>
                  <w:tcW w:w="1275" w:type="dxa"/>
                  <w:tcBorders>
                    <w:top w:val="single" w:sz="4" w:space="0" w:color="auto"/>
                    <w:left w:val="nil"/>
                    <w:bottom w:val="nil"/>
                    <w:right w:val="nil"/>
                  </w:tcBorders>
                  <w:vAlign w:val="bottom"/>
                </w:tcPr>
                <w:p w14:paraId="7ACDF969" w14:textId="333B5220" w:rsidR="0008123D" w:rsidRPr="003952AA" w:rsidRDefault="00577DA6" w:rsidP="0008123D">
                  <w:pPr>
                    <w:spacing w:before="20" w:after="40"/>
                    <w:jc w:val="right"/>
                    <w:rPr>
                      <w:rFonts w:ascii="Arial" w:hAnsi="Arial" w:cs="Arial"/>
                      <w:b/>
                    </w:rPr>
                  </w:pPr>
                  <w:r w:rsidRPr="003952AA">
                    <w:rPr>
                      <w:rFonts w:ascii="Arial" w:hAnsi="Arial" w:cs="Arial"/>
                      <w:b/>
                    </w:rPr>
                    <w:t>799,923</w:t>
                  </w:r>
                </w:p>
              </w:tc>
              <w:tc>
                <w:tcPr>
                  <w:tcW w:w="993" w:type="dxa"/>
                  <w:tcBorders>
                    <w:top w:val="single" w:sz="4" w:space="0" w:color="auto"/>
                    <w:left w:val="nil"/>
                    <w:bottom w:val="nil"/>
                    <w:right w:val="single" w:sz="4" w:space="0" w:color="auto"/>
                  </w:tcBorders>
                  <w:vAlign w:val="bottom"/>
                </w:tcPr>
                <w:p w14:paraId="4AE62D13" w14:textId="2DC7634B" w:rsidR="0008123D" w:rsidRPr="003952AA" w:rsidRDefault="00577DA6" w:rsidP="0008123D">
                  <w:pPr>
                    <w:spacing w:before="20" w:after="40"/>
                    <w:jc w:val="right"/>
                    <w:rPr>
                      <w:rFonts w:ascii="Arial" w:hAnsi="Arial" w:cs="Arial"/>
                      <w:b/>
                    </w:rPr>
                  </w:pPr>
                  <w:r w:rsidRPr="003952AA">
                    <w:rPr>
                      <w:rFonts w:ascii="Arial" w:hAnsi="Arial" w:cs="Arial"/>
                      <w:b/>
                    </w:rPr>
                    <w:t>4.3%</w:t>
                  </w:r>
                </w:p>
              </w:tc>
              <w:tc>
                <w:tcPr>
                  <w:tcW w:w="1134" w:type="dxa"/>
                  <w:tcBorders>
                    <w:top w:val="single" w:sz="4" w:space="0" w:color="auto"/>
                    <w:left w:val="single" w:sz="4" w:space="0" w:color="auto"/>
                    <w:bottom w:val="nil"/>
                    <w:right w:val="nil"/>
                  </w:tcBorders>
                  <w:vAlign w:val="bottom"/>
                </w:tcPr>
                <w:p w14:paraId="7B5C1C86" w14:textId="26827C07" w:rsidR="0008123D" w:rsidRPr="003952AA" w:rsidRDefault="003B7A7F" w:rsidP="0008123D">
                  <w:pPr>
                    <w:spacing w:before="20" w:after="40"/>
                    <w:jc w:val="right"/>
                    <w:rPr>
                      <w:rFonts w:ascii="Arial" w:hAnsi="Arial" w:cs="Arial"/>
                      <w:b/>
                    </w:rPr>
                  </w:pPr>
                  <w:r w:rsidRPr="003952AA">
                    <w:rPr>
                      <w:rFonts w:ascii="Arial" w:hAnsi="Arial" w:cs="Arial"/>
                      <w:b/>
                    </w:rPr>
                    <w:t>19,727</w:t>
                  </w:r>
                </w:p>
              </w:tc>
              <w:tc>
                <w:tcPr>
                  <w:tcW w:w="1026" w:type="dxa"/>
                  <w:tcBorders>
                    <w:top w:val="single" w:sz="4" w:space="0" w:color="auto"/>
                    <w:left w:val="nil"/>
                    <w:bottom w:val="nil"/>
                    <w:right w:val="single" w:sz="4" w:space="0" w:color="auto"/>
                  </w:tcBorders>
                  <w:vAlign w:val="bottom"/>
                </w:tcPr>
                <w:p w14:paraId="17BF2CBB" w14:textId="38DC0B54" w:rsidR="0008123D" w:rsidRPr="003952AA" w:rsidRDefault="003B7A7F" w:rsidP="0008123D">
                  <w:pPr>
                    <w:spacing w:before="20" w:after="40"/>
                    <w:jc w:val="right"/>
                    <w:rPr>
                      <w:rFonts w:ascii="Arial" w:hAnsi="Arial" w:cs="Arial"/>
                      <w:b/>
                    </w:rPr>
                  </w:pPr>
                  <w:r w:rsidRPr="003952AA">
                    <w:rPr>
                      <w:rFonts w:ascii="Arial" w:hAnsi="Arial" w:cs="Arial"/>
                      <w:b/>
                    </w:rPr>
                    <w:t>252,451</w:t>
                  </w:r>
                </w:p>
              </w:tc>
            </w:tr>
            <w:tr w:rsidR="0008123D" w:rsidRPr="003952AA" w14:paraId="3DE4E9B9" w14:textId="77777777" w:rsidTr="00855A38">
              <w:trPr>
                <w:trHeight w:val="73"/>
              </w:trPr>
              <w:tc>
                <w:tcPr>
                  <w:tcW w:w="2160" w:type="dxa"/>
                  <w:tcBorders>
                    <w:top w:val="nil"/>
                    <w:left w:val="single" w:sz="4" w:space="0" w:color="auto"/>
                    <w:bottom w:val="nil"/>
                    <w:right w:val="single" w:sz="4" w:space="0" w:color="auto"/>
                  </w:tcBorders>
                </w:tcPr>
                <w:p w14:paraId="208BD379" w14:textId="77777777" w:rsidR="0008123D" w:rsidRPr="003952AA" w:rsidRDefault="0008123D" w:rsidP="0008123D">
                  <w:pPr>
                    <w:spacing w:before="20" w:after="40"/>
                    <w:rPr>
                      <w:rFonts w:ascii="Arial" w:hAnsi="Arial" w:cs="Arial"/>
                    </w:rPr>
                  </w:pPr>
                  <w:r w:rsidRPr="003952AA">
                    <w:rPr>
                      <w:rFonts w:ascii="Arial" w:hAnsi="Arial" w:cs="Arial"/>
                    </w:rPr>
                    <w:t>Americas</w:t>
                  </w:r>
                </w:p>
              </w:tc>
              <w:tc>
                <w:tcPr>
                  <w:tcW w:w="1276" w:type="dxa"/>
                  <w:tcBorders>
                    <w:top w:val="nil"/>
                    <w:left w:val="single" w:sz="4" w:space="0" w:color="auto"/>
                    <w:bottom w:val="nil"/>
                    <w:right w:val="nil"/>
                  </w:tcBorders>
                  <w:vAlign w:val="bottom"/>
                </w:tcPr>
                <w:p w14:paraId="2F3C9D41" w14:textId="3B303EFB" w:rsidR="0008123D" w:rsidRPr="003952AA" w:rsidRDefault="00577DA6" w:rsidP="0008123D">
                  <w:pPr>
                    <w:spacing w:before="20" w:after="40"/>
                    <w:jc w:val="right"/>
                    <w:rPr>
                      <w:rFonts w:ascii="Arial" w:hAnsi="Arial" w:cs="Arial"/>
                    </w:rPr>
                  </w:pPr>
                  <w:r w:rsidRPr="003952AA">
                    <w:rPr>
                      <w:rFonts w:ascii="Arial" w:hAnsi="Arial" w:cs="Arial"/>
                    </w:rPr>
                    <w:t>3,249</w:t>
                  </w:r>
                </w:p>
              </w:tc>
              <w:tc>
                <w:tcPr>
                  <w:tcW w:w="1276" w:type="dxa"/>
                  <w:tcBorders>
                    <w:top w:val="nil"/>
                    <w:left w:val="nil"/>
                    <w:bottom w:val="nil"/>
                    <w:right w:val="nil"/>
                  </w:tcBorders>
                  <w:vAlign w:val="bottom"/>
                </w:tcPr>
                <w:p w14:paraId="4369875A" w14:textId="5D04C91A" w:rsidR="0008123D" w:rsidRPr="003952AA" w:rsidRDefault="00577DA6" w:rsidP="0008123D">
                  <w:pPr>
                    <w:spacing w:before="20" w:after="40"/>
                    <w:jc w:val="right"/>
                    <w:rPr>
                      <w:rFonts w:ascii="Arial" w:hAnsi="Arial" w:cs="Arial"/>
                    </w:rPr>
                  </w:pPr>
                  <w:r w:rsidRPr="003952AA">
                    <w:rPr>
                      <w:rFonts w:ascii="Arial" w:hAnsi="Arial" w:cs="Arial"/>
                    </w:rPr>
                    <w:t>(3,519)</w:t>
                  </w:r>
                </w:p>
              </w:tc>
              <w:tc>
                <w:tcPr>
                  <w:tcW w:w="1276" w:type="dxa"/>
                  <w:tcBorders>
                    <w:top w:val="nil"/>
                    <w:left w:val="nil"/>
                    <w:bottom w:val="nil"/>
                    <w:right w:val="nil"/>
                  </w:tcBorders>
                  <w:vAlign w:val="bottom"/>
                </w:tcPr>
                <w:p w14:paraId="427A5F23" w14:textId="2066FB6A" w:rsidR="0008123D" w:rsidRPr="003952AA" w:rsidRDefault="00577DA6" w:rsidP="0008123D">
                  <w:pPr>
                    <w:spacing w:before="20" w:after="40"/>
                    <w:jc w:val="right"/>
                    <w:rPr>
                      <w:rFonts w:ascii="Arial" w:hAnsi="Arial" w:cs="Arial"/>
                    </w:rPr>
                  </w:pPr>
                  <w:r w:rsidRPr="003952AA">
                    <w:rPr>
                      <w:rFonts w:ascii="Arial" w:hAnsi="Arial" w:cs="Arial"/>
                    </w:rPr>
                    <w:t>(270)</w:t>
                  </w:r>
                </w:p>
              </w:tc>
              <w:tc>
                <w:tcPr>
                  <w:tcW w:w="1275" w:type="dxa"/>
                  <w:tcBorders>
                    <w:top w:val="nil"/>
                    <w:left w:val="nil"/>
                    <w:bottom w:val="nil"/>
                    <w:right w:val="nil"/>
                  </w:tcBorders>
                  <w:vAlign w:val="bottom"/>
                </w:tcPr>
                <w:p w14:paraId="6BA09A94" w14:textId="270F1CE9" w:rsidR="0008123D" w:rsidRPr="003952AA" w:rsidRDefault="00577DA6" w:rsidP="0008123D">
                  <w:pPr>
                    <w:spacing w:before="20" w:after="40"/>
                    <w:jc w:val="right"/>
                    <w:rPr>
                      <w:rFonts w:ascii="Arial" w:hAnsi="Arial" w:cs="Arial"/>
                    </w:rPr>
                  </w:pPr>
                  <w:r w:rsidRPr="003952AA">
                    <w:rPr>
                      <w:rFonts w:ascii="Arial" w:hAnsi="Arial" w:cs="Arial"/>
                    </w:rPr>
                    <w:t>497,190</w:t>
                  </w:r>
                </w:p>
              </w:tc>
              <w:tc>
                <w:tcPr>
                  <w:tcW w:w="993" w:type="dxa"/>
                  <w:tcBorders>
                    <w:top w:val="nil"/>
                    <w:left w:val="nil"/>
                    <w:bottom w:val="nil"/>
                    <w:right w:val="single" w:sz="4" w:space="0" w:color="auto"/>
                  </w:tcBorders>
                  <w:vAlign w:val="bottom"/>
                </w:tcPr>
                <w:p w14:paraId="0B5709F1" w14:textId="19BC0453" w:rsidR="0008123D" w:rsidRPr="003952AA" w:rsidRDefault="00577DA6" w:rsidP="0008123D">
                  <w:pPr>
                    <w:spacing w:before="20" w:after="40"/>
                    <w:jc w:val="right"/>
                    <w:rPr>
                      <w:rFonts w:ascii="Arial" w:hAnsi="Arial" w:cs="Arial"/>
                    </w:rPr>
                  </w:pPr>
                  <w:r w:rsidRPr="003952AA">
                    <w:rPr>
                      <w:rFonts w:ascii="Arial" w:hAnsi="Arial" w:cs="Arial"/>
                    </w:rPr>
                    <w:t>2.3%</w:t>
                  </w:r>
                </w:p>
              </w:tc>
              <w:tc>
                <w:tcPr>
                  <w:tcW w:w="1134" w:type="dxa"/>
                  <w:tcBorders>
                    <w:top w:val="nil"/>
                    <w:left w:val="single" w:sz="4" w:space="0" w:color="auto"/>
                    <w:bottom w:val="nil"/>
                    <w:right w:val="nil"/>
                  </w:tcBorders>
                  <w:vAlign w:val="bottom"/>
                </w:tcPr>
                <w:p w14:paraId="252524DD" w14:textId="2433D612" w:rsidR="0008123D" w:rsidRPr="003952AA" w:rsidRDefault="003B7A7F" w:rsidP="0008123D">
                  <w:pPr>
                    <w:spacing w:before="20" w:after="40"/>
                    <w:jc w:val="right"/>
                    <w:rPr>
                      <w:rFonts w:ascii="Arial" w:hAnsi="Arial" w:cs="Arial"/>
                    </w:rPr>
                  </w:pPr>
                  <w:r w:rsidRPr="003952AA">
                    <w:rPr>
                      <w:rFonts w:ascii="Arial" w:hAnsi="Arial" w:cs="Arial"/>
                    </w:rPr>
                    <w:t>9,928</w:t>
                  </w:r>
                </w:p>
              </w:tc>
              <w:tc>
                <w:tcPr>
                  <w:tcW w:w="1026" w:type="dxa"/>
                  <w:tcBorders>
                    <w:top w:val="nil"/>
                    <w:left w:val="nil"/>
                    <w:bottom w:val="nil"/>
                    <w:right w:val="single" w:sz="4" w:space="0" w:color="auto"/>
                  </w:tcBorders>
                  <w:vAlign w:val="bottom"/>
                </w:tcPr>
                <w:p w14:paraId="1D04029C" w14:textId="74F8C453" w:rsidR="0008123D" w:rsidRPr="003952AA" w:rsidRDefault="003B7A7F" w:rsidP="0008123D">
                  <w:pPr>
                    <w:spacing w:before="20" w:after="40"/>
                    <w:jc w:val="right"/>
                    <w:rPr>
                      <w:rFonts w:ascii="Arial" w:hAnsi="Arial" w:cs="Arial"/>
                    </w:rPr>
                  </w:pPr>
                  <w:r w:rsidRPr="003952AA">
                    <w:rPr>
                      <w:rFonts w:ascii="Arial" w:hAnsi="Arial" w:cs="Arial"/>
                    </w:rPr>
                    <w:t>113,739</w:t>
                  </w:r>
                </w:p>
              </w:tc>
            </w:tr>
            <w:tr w:rsidR="0008123D" w:rsidRPr="003952AA" w14:paraId="13B208EA" w14:textId="77777777" w:rsidTr="00855A38">
              <w:trPr>
                <w:trHeight w:val="227"/>
              </w:trPr>
              <w:tc>
                <w:tcPr>
                  <w:tcW w:w="2160" w:type="dxa"/>
                  <w:tcBorders>
                    <w:top w:val="nil"/>
                    <w:left w:val="single" w:sz="4" w:space="0" w:color="auto"/>
                    <w:bottom w:val="nil"/>
                    <w:right w:val="single" w:sz="4" w:space="0" w:color="auto"/>
                  </w:tcBorders>
                </w:tcPr>
                <w:p w14:paraId="5989DCAE" w14:textId="343FC391" w:rsidR="0008123D" w:rsidRPr="003952AA" w:rsidRDefault="00A35CE0" w:rsidP="0008123D">
                  <w:pPr>
                    <w:spacing w:before="20" w:after="40"/>
                    <w:rPr>
                      <w:rFonts w:ascii="Arial" w:hAnsi="Arial" w:cs="Arial"/>
                    </w:rPr>
                  </w:pPr>
                  <w:r w:rsidRPr="003952AA">
                    <w:rPr>
                      <w:rFonts w:ascii="Arial" w:hAnsi="Arial" w:cs="Arial"/>
                    </w:rPr>
                    <w:t>E</w:t>
                  </w:r>
                  <w:r w:rsidR="0008123D" w:rsidRPr="003952AA">
                    <w:rPr>
                      <w:rFonts w:ascii="Arial" w:hAnsi="Arial" w:cs="Arial"/>
                    </w:rPr>
                    <w:t>MEA</w:t>
                  </w:r>
                  <w:r w:rsidRPr="003952AA">
                    <w:rPr>
                      <w:rFonts w:ascii="Arial" w:hAnsi="Arial" w:cs="Arial"/>
                    </w:rPr>
                    <w:t>A</w:t>
                  </w:r>
                </w:p>
              </w:tc>
              <w:tc>
                <w:tcPr>
                  <w:tcW w:w="1276" w:type="dxa"/>
                  <w:tcBorders>
                    <w:top w:val="nil"/>
                    <w:left w:val="single" w:sz="4" w:space="0" w:color="auto"/>
                    <w:bottom w:val="nil"/>
                    <w:right w:val="nil"/>
                  </w:tcBorders>
                  <w:vAlign w:val="bottom"/>
                </w:tcPr>
                <w:p w14:paraId="18E3F59A" w14:textId="7EAB71FB" w:rsidR="0008123D" w:rsidRPr="003952AA" w:rsidRDefault="00577DA6" w:rsidP="0008123D">
                  <w:pPr>
                    <w:spacing w:before="20" w:after="40"/>
                    <w:jc w:val="right"/>
                    <w:rPr>
                      <w:rFonts w:ascii="Arial" w:hAnsi="Arial" w:cs="Arial"/>
                    </w:rPr>
                  </w:pPr>
                  <w:r w:rsidRPr="003952AA">
                    <w:rPr>
                      <w:rFonts w:ascii="Arial" w:hAnsi="Arial" w:cs="Arial"/>
                    </w:rPr>
                    <w:t>1,639</w:t>
                  </w:r>
                </w:p>
              </w:tc>
              <w:tc>
                <w:tcPr>
                  <w:tcW w:w="1276" w:type="dxa"/>
                  <w:tcBorders>
                    <w:top w:val="nil"/>
                    <w:left w:val="nil"/>
                    <w:bottom w:val="nil"/>
                    <w:right w:val="nil"/>
                  </w:tcBorders>
                  <w:vAlign w:val="bottom"/>
                </w:tcPr>
                <w:p w14:paraId="7C51C81E" w14:textId="2A71A252" w:rsidR="0008123D" w:rsidRPr="003952AA" w:rsidRDefault="00577DA6" w:rsidP="0008123D">
                  <w:pPr>
                    <w:spacing w:before="20" w:after="40"/>
                    <w:jc w:val="right"/>
                    <w:rPr>
                      <w:rFonts w:ascii="Arial" w:hAnsi="Arial" w:cs="Arial"/>
                    </w:rPr>
                  </w:pPr>
                  <w:r w:rsidRPr="003952AA">
                    <w:rPr>
                      <w:rFonts w:ascii="Arial" w:hAnsi="Arial" w:cs="Arial"/>
                    </w:rPr>
                    <w:t>(1,825)</w:t>
                  </w:r>
                </w:p>
              </w:tc>
              <w:tc>
                <w:tcPr>
                  <w:tcW w:w="1276" w:type="dxa"/>
                  <w:tcBorders>
                    <w:top w:val="nil"/>
                    <w:left w:val="nil"/>
                    <w:bottom w:val="nil"/>
                    <w:right w:val="nil"/>
                  </w:tcBorders>
                  <w:vAlign w:val="bottom"/>
                </w:tcPr>
                <w:p w14:paraId="6877296C" w14:textId="43DF3421" w:rsidR="0008123D" w:rsidRPr="003952AA" w:rsidRDefault="00577DA6" w:rsidP="0008123D">
                  <w:pPr>
                    <w:spacing w:before="20" w:after="40"/>
                    <w:jc w:val="right"/>
                    <w:rPr>
                      <w:rFonts w:ascii="Arial" w:hAnsi="Arial" w:cs="Arial"/>
                    </w:rPr>
                  </w:pPr>
                  <w:r w:rsidRPr="003952AA">
                    <w:rPr>
                      <w:rFonts w:ascii="Arial" w:hAnsi="Arial" w:cs="Arial"/>
                    </w:rPr>
                    <w:t>(186)</w:t>
                  </w:r>
                </w:p>
              </w:tc>
              <w:tc>
                <w:tcPr>
                  <w:tcW w:w="1275" w:type="dxa"/>
                  <w:tcBorders>
                    <w:top w:val="nil"/>
                    <w:left w:val="nil"/>
                    <w:bottom w:val="nil"/>
                    <w:right w:val="nil"/>
                  </w:tcBorders>
                  <w:vAlign w:val="bottom"/>
                </w:tcPr>
                <w:p w14:paraId="3E7CFE42" w14:textId="42DCBB2E" w:rsidR="0008123D" w:rsidRPr="003952AA" w:rsidRDefault="00577DA6" w:rsidP="0008123D">
                  <w:pPr>
                    <w:spacing w:before="20" w:after="40"/>
                    <w:jc w:val="right"/>
                    <w:rPr>
                      <w:rFonts w:ascii="Arial" w:hAnsi="Arial" w:cs="Arial"/>
                    </w:rPr>
                  </w:pPr>
                  <w:r w:rsidRPr="003952AA">
                    <w:rPr>
                      <w:rFonts w:ascii="Arial" w:hAnsi="Arial" w:cs="Arial"/>
                    </w:rPr>
                    <w:t>198,890</w:t>
                  </w:r>
                </w:p>
              </w:tc>
              <w:tc>
                <w:tcPr>
                  <w:tcW w:w="993" w:type="dxa"/>
                  <w:tcBorders>
                    <w:top w:val="nil"/>
                    <w:left w:val="nil"/>
                    <w:bottom w:val="nil"/>
                    <w:right w:val="single" w:sz="4" w:space="0" w:color="auto"/>
                  </w:tcBorders>
                  <w:vAlign w:val="bottom"/>
                </w:tcPr>
                <w:p w14:paraId="5C3304A3" w14:textId="456CF3CA" w:rsidR="0008123D" w:rsidRPr="003952AA" w:rsidRDefault="00577DA6" w:rsidP="0008123D">
                  <w:pPr>
                    <w:spacing w:before="20" w:after="40"/>
                    <w:jc w:val="right"/>
                    <w:rPr>
                      <w:rFonts w:ascii="Arial" w:hAnsi="Arial" w:cs="Arial"/>
                    </w:rPr>
                  </w:pPr>
                  <w:r w:rsidRPr="003952AA">
                    <w:rPr>
                      <w:rFonts w:ascii="Arial" w:hAnsi="Arial" w:cs="Arial"/>
                    </w:rPr>
                    <w:t>6.9%</w:t>
                  </w:r>
                </w:p>
              </w:tc>
              <w:tc>
                <w:tcPr>
                  <w:tcW w:w="1134" w:type="dxa"/>
                  <w:tcBorders>
                    <w:top w:val="nil"/>
                    <w:left w:val="single" w:sz="4" w:space="0" w:color="auto"/>
                    <w:bottom w:val="nil"/>
                    <w:right w:val="nil"/>
                  </w:tcBorders>
                  <w:vAlign w:val="bottom"/>
                </w:tcPr>
                <w:p w14:paraId="2C45D92D" w14:textId="67D5F4AC" w:rsidR="0008123D" w:rsidRPr="003952AA" w:rsidRDefault="003B7A7F" w:rsidP="0008123D">
                  <w:pPr>
                    <w:spacing w:before="20" w:after="40"/>
                    <w:jc w:val="right"/>
                    <w:rPr>
                      <w:rFonts w:ascii="Arial" w:hAnsi="Arial" w:cs="Arial"/>
                    </w:rPr>
                  </w:pPr>
                  <w:r w:rsidRPr="003952AA">
                    <w:rPr>
                      <w:rFonts w:ascii="Arial" w:hAnsi="Arial" w:cs="Arial"/>
                    </w:rPr>
                    <w:t>2,103</w:t>
                  </w:r>
                </w:p>
              </w:tc>
              <w:tc>
                <w:tcPr>
                  <w:tcW w:w="1026" w:type="dxa"/>
                  <w:tcBorders>
                    <w:top w:val="nil"/>
                    <w:left w:val="nil"/>
                    <w:bottom w:val="nil"/>
                    <w:right w:val="single" w:sz="4" w:space="0" w:color="auto"/>
                  </w:tcBorders>
                  <w:vAlign w:val="bottom"/>
                </w:tcPr>
                <w:p w14:paraId="0EA965C6" w14:textId="3D9EF02F" w:rsidR="0008123D" w:rsidRPr="003952AA" w:rsidRDefault="003B7A7F" w:rsidP="0008123D">
                  <w:pPr>
                    <w:spacing w:before="20" w:after="40"/>
                    <w:jc w:val="right"/>
                    <w:rPr>
                      <w:rFonts w:ascii="Arial" w:hAnsi="Arial" w:cs="Arial"/>
                    </w:rPr>
                  </w:pPr>
                  <w:r w:rsidRPr="003952AA">
                    <w:rPr>
                      <w:rFonts w:ascii="Arial" w:hAnsi="Arial" w:cs="Arial"/>
                    </w:rPr>
                    <w:t>63,651</w:t>
                  </w:r>
                </w:p>
              </w:tc>
            </w:tr>
            <w:tr w:rsidR="0008123D" w:rsidRPr="003952AA" w14:paraId="350B0F49" w14:textId="77777777" w:rsidTr="00855A38">
              <w:trPr>
                <w:trHeight w:val="227"/>
              </w:trPr>
              <w:tc>
                <w:tcPr>
                  <w:tcW w:w="2160" w:type="dxa"/>
                  <w:tcBorders>
                    <w:top w:val="nil"/>
                    <w:left w:val="single" w:sz="4" w:space="0" w:color="auto"/>
                    <w:bottom w:val="single" w:sz="4" w:space="0" w:color="auto"/>
                    <w:right w:val="single" w:sz="4" w:space="0" w:color="auto"/>
                  </w:tcBorders>
                </w:tcPr>
                <w:p w14:paraId="300CC463" w14:textId="77777777" w:rsidR="0008123D" w:rsidRPr="003952AA" w:rsidRDefault="0008123D" w:rsidP="0008123D">
                  <w:pPr>
                    <w:spacing w:before="20" w:after="40"/>
                    <w:rPr>
                      <w:rFonts w:ascii="Arial" w:hAnsi="Arial" w:cs="Arial"/>
                    </w:rPr>
                  </w:pPr>
                  <w:r w:rsidRPr="003952AA">
                    <w:rPr>
                      <w:rFonts w:ascii="Arial" w:hAnsi="Arial" w:cs="Arial"/>
                    </w:rPr>
                    <w:t>G. China</w:t>
                  </w:r>
                </w:p>
              </w:tc>
              <w:tc>
                <w:tcPr>
                  <w:tcW w:w="1276" w:type="dxa"/>
                  <w:tcBorders>
                    <w:top w:val="nil"/>
                    <w:left w:val="single" w:sz="4" w:space="0" w:color="auto"/>
                    <w:bottom w:val="single" w:sz="4" w:space="0" w:color="auto"/>
                    <w:right w:val="nil"/>
                  </w:tcBorders>
                  <w:vAlign w:val="bottom"/>
                </w:tcPr>
                <w:p w14:paraId="74D6D976" w14:textId="13DAC779" w:rsidR="0008123D" w:rsidRPr="003952AA" w:rsidRDefault="00577DA6" w:rsidP="0008123D">
                  <w:pPr>
                    <w:spacing w:before="20" w:after="40"/>
                    <w:jc w:val="right"/>
                    <w:rPr>
                      <w:rFonts w:ascii="Arial" w:hAnsi="Arial" w:cs="Arial"/>
                    </w:rPr>
                  </w:pPr>
                  <w:r w:rsidRPr="003952AA">
                    <w:rPr>
                      <w:rFonts w:ascii="Arial" w:hAnsi="Arial" w:cs="Arial"/>
                    </w:rPr>
                    <w:t>3,032</w:t>
                  </w:r>
                </w:p>
              </w:tc>
              <w:tc>
                <w:tcPr>
                  <w:tcW w:w="1276" w:type="dxa"/>
                  <w:tcBorders>
                    <w:top w:val="nil"/>
                    <w:left w:val="nil"/>
                    <w:bottom w:val="single" w:sz="4" w:space="0" w:color="auto"/>
                    <w:right w:val="nil"/>
                  </w:tcBorders>
                  <w:vAlign w:val="bottom"/>
                </w:tcPr>
                <w:p w14:paraId="7161795A" w14:textId="104B269F" w:rsidR="0008123D" w:rsidRPr="003952AA" w:rsidRDefault="00577DA6" w:rsidP="0008123D">
                  <w:pPr>
                    <w:spacing w:before="20" w:after="40"/>
                    <w:jc w:val="right"/>
                    <w:rPr>
                      <w:rFonts w:ascii="Arial" w:hAnsi="Arial" w:cs="Arial"/>
                    </w:rPr>
                  </w:pPr>
                  <w:r w:rsidRPr="003952AA">
                    <w:rPr>
                      <w:rFonts w:ascii="Arial" w:hAnsi="Arial" w:cs="Arial"/>
                    </w:rPr>
                    <w:t>(728)</w:t>
                  </w:r>
                </w:p>
              </w:tc>
              <w:tc>
                <w:tcPr>
                  <w:tcW w:w="1276" w:type="dxa"/>
                  <w:tcBorders>
                    <w:top w:val="nil"/>
                    <w:left w:val="nil"/>
                    <w:bottom w:val="single" w:sz="4" w:space="0" w:color="auto"/>
                    <w:right w:val="nil"/>
                  </w:tcBorders>
                  <w:vAlign w:val="bottom"/>
                </w:tcPr>
                <w:p w14:paraId="43796AB4" w14:textId="6077547C" w:rsidR="0008123D" w:rsidRPr="003952AA" w:rsidRDefault="00577DA6" w:rsidP="0008123D">
                  <w:pPr>
                    <w:spacing w:before="20" w:after="40"/>
                    <w:jc w:val="right"/>
                    <w:rPr>
                      <w:rFonts w:ascii="Arial" w:hAnsi="Arial" w:cs="Arial"/>
                    </w:rPr>
                  </w:pPr>
                  <w:r w:rsidRPr="003952AA">
                    <w:rPr>
                      <w:rFonts w:ascii="Arial" w:hAnsi="Arial" w:cs="Arial"/>
                    </w:rPr>
                    <w:t>2,304</w:t>
                  </w:r>
                </w:p>
              </w:tc>
              <w:tc>
                <w:tcPr>
                  <w:tcW w:w="1275" w:type="dxa"/>
                  <w:tcBorders>
                    <w:top w:val="nil"/>
                    <w:left w:val="nil"/>
                    <w:bottom w:val="single" w:sz="4" w:space="0" w:color="auto"/>
                    <w:right w:val="nil"/>
                  </w:tcBorders>
                  <w:vAlign w:val="bottom"/>
                </w:tcPr>
                <w:p w14:paraId="23FF62B8" w14:textId="5BE7C4E1" w:rsidR="0008123D" w:rsidRPr="003952AA" w:rsidRDefault="00577DA6" w:rsidP="0008123D">
                  <w:pPr>
                    <w:spacing w:before="20" w:after="40"/>
                    <w:jc w:val="right"/>
                    <w:rPr>
                      <w:rFonts w:ascii="Arial" w:hAnsi="Arial" w:cs="Arial"/>
                    </w:rPr>
                  </w:pPr>
                  <w:r w:rsidRPr="003952AA">
                    <w:rPr>
                      <w:rFonts w:ascii="Arial" w:hAnsi="Arial" w:cs="Arial"/>
                    </w:rPr>
                    <w:t>103,843</w:t>
                  </w:r>
                </w:p>
              </w:tc>
              <w:tc>
                <w:tcPr>
                  <w:tcW w:w="993" w:type="dxa"/>
                  <w:tcBorders>
                    <w:top w:val="nil"/>
                    <w:left w:val="nil"/>
                    <w:bottom w:val="single" w:sz="4" w:space="0" w:color="auto"/>
                    <w:right w:val="single" w:sz="4" w:space="0" w:color="auto"/>
                  </w:tcBorders>
                  <w:vAlign w:val="bottom"/>
                </w:tcPr>
                <w:p w14:paraId="177AF2D4" w14:textId="55F9440F" w:rsidR="0008123D" w:rsidRPr="003952AA" w:rsidRDefault="00577DA6" w:rsidP="0008123D">
                  <w:pPr>
                    <w:spacing w:before="20" w:after="40"/>
                    <w:jc w:val="right"/>
                    <w:rPr>
                      <w:rFonts w:ascii="Arial" w:hAnsi="Arial" w:cs="Arial"/>
                    </w:rPr>
                  </w:pPr>
                  <w:r w:rsidRPr="003952AA">
                    <w:rPr>
                      <w:rFonts w:ascii="Arial" w:hAnsi="Arial" w:cs="Arial"/>
                    </w:rPr>
                    <w:t>9.4%</w:t>
                  </w:r>
                </w:p>
              </w:tc>
              <w:tc>
                <w:tcPr>
                  <w:tcW w:w="1134" w:type="dxa"/>
                  <w:tcBorders>
                    <w:top w:val="nil"/>
                    <w:left w:val="single" w:sz="4" w:space="0" w:color="auto"/>
                    <w:bottom w:val="single" w:sz="4" w:space="0" w:color="auto"/>
                    <w:right w:val="nil"/>
                  </w:tcBorders>
                  <w:vAlign w:val="bottom"/>
                </w:tcPr>
                <w:p w14:paraId="62C27B84" w14:textId="0291AB97" w:rsidR="0008123D" w:rsidRPr="003952AA" w:rsidRDefault="003B7A7F" w:rsidP="0008123D">
                  <w:pPr>
                    <w:spacing w:before="20" w:after="40"/>
                    <w:jc w:val="right"/>
                    <w:rPr>
                      <w:rFonts w:ascii="Arial" w:hAnsi="Arial" w:cs="Arial"/>
                    </w:rPr>
                  </w:pPr>
                  <w:r w:rsidRPr="003952AA">
                    <w:rPr>
                      <w:rFonts w:ascii="Arial" w:hAnsi="Arial" w:cs="Arial"/>
                    </w:rPr>
                    <w:t>7,696</w:t>
                  </w:r>
                </w:p>
              </w:tc>
              <w:tc>
                <w:tcPr>
                  <w:tcW w:w="1026" w:type="dxa"/>
                  <w:tcBorders>
                    <w:top w:val="nil"/>
                    <w:left w:val="nil"/>
                    <w:bottom w:val="single" w:sz="4" w:space="0" w:color="auto"/>
                    <w:right w:val="single" w:sz="4" w:space="0" w:color="auto"/>
                  </w:tcBorders>
                  <w:vAlign w:val="bottom"/>
                </w:tcPr>
                <w:p w14:paraId="5A096240" w14:textId="6B924686" w:rsidR="0008123D" w:rsidRPr="003952AA" w:rsidRDefault="003B7A7F" w:rsidP="0008123D">
                  <w:pPr>
                    <w:spacing w:before="20" w:after="40"/>
                    <w:jc w:val="right"/>
                    <w:rPr>
                      <w:rFonts w:ascii="Arial" w:hAnsi="Arial" w:cs="Arial"/>
                    </w:rPr>
                  </w:pPr>
                  <w:r w:rsidRPr="003952AA">
                    <w:rPr>
                      <w:rFonts w:ascii="Arial" w:hAnsi="Arial" w:cs="Arial"/>
                    </w:rPr>
                    <w:t>75,061</w:t>
                  </w:r>
                </w:p>
              </w:tc>
            </w:tr>
            <w:tr w:rsidR="00BC5515" w:rsidRPr="003952AA" w14:paraId="1CB78E72" w14:textId="77777777" w:rsidTr="00337C80">
              <w:tblPrEx>
                <w:tblCellMar>
                  <w:right w:w="108" w:type="dxa"/>
                </w:tblCellMar>
              </w:tblPrEx>
              <w:tc>
                <w:tcPr>
                  <w:tcW w:w="10416" w:type="dxa"/>
                  <w:gridSpan w:val="8"/>
                  <w:tcBorders>
                    <w:top w:val="nil"/>
                    <w:left w:val="nil"/>
                    <w:bottom w:val="single" w:sz="4" w:space="0" w:color="auto"/>
                    <w:right w:val="nil"/>
                  </w:tcBorders>
                  <w:tcMar>
                    <w:left w:w="57" w:type="dxa"/>
                  </w:tcMar>
                  <w:vAlign w:val="center"/>
                </w:tcPr>
                <w:p w14:paraId="15814EC5" w14:textId="3365AC82" w:rsidR="00BC5515" w:rsidRPr="003952AA" w:rsidRDefault="00B60683" w:rsidP="00337C80">
                  <w:pPr>
                    <w:ind w:left="-40"/>
                    <w:rPr>
                      <w:rFonts w:ascii="Arial" w:hAnsi="Arial" w:cs="Arial"/>
                      <w:b/>
                      <w:sz w:val="18"/>
                      <w:szCs w:val="18"/>
                    </w:rPr>
                  </w:pPr>
                  <w:r w:rsidRPr="003952AA">
                    <w:rPr>
                      <w:rFonts w:ascii="Arial" w:hAnsi="Arial" w:cs="Arial"/>
                      <w:sz w:val="18"/>
                      <w:szCs w:val="18"/>
                    </w:rPr>
                    <w:br/>
                  </w:r>
                  <w:r w:rsidR="00825511" w:rsidRPr="00337C80">
                    <w:rPr>
                      <w:rFonts w:ascii="Arial" w:hAnsi="Arial" w:cs="Arial"/>
                      <w:b/>
                    </w:rPr>
                    <w:t xml:space="preserve">Appendix </w:t>
                  </w:r>
                  <w:r w:rsidR="007434A8" w:rsidRPr="00337C80">
                    <w:rPr>
                      <w:rFonts w:ascii="Arial" w:hAnsi="Arial" w:cs="Arial"/>
                      <w:b/>
                    </w:rPr>
                    <w:t>4</w:t>
                  </w:r>
                  <w:r w:rsidR="00BC5515" w:rsidRPr="00337C80">
                    <w:rPr>
                      <w:rFonts w:ascii="Arial" w:hAnsi="Arial" w:cs="Arial"/>
                      <w:b/>
                    </w:rPr>
                    <w:t>: Definitions</w:t>
                  </w:r>
                </w:p>
              </w:tc>
            </w:tr>
            <w:tr w:rsidR="00BC5515" w:rsidRPr="003952AA" w14:paraId="2696C8BA" w14:textId="77777777" w:rsidTr="00333CFC">
              <w:tblPrEx>
                <w:tblBorders>
                  <w:top w:val="single" w:sz="4" w:space="0" w:color="auto"/>
                  <w:left w:val="single" w:sz="4" w:space="0" w:color="auto"/>
                  <w:bottom w:val="single" w:sz="4" w:space="0" w:color="auto"/>
                  <w:right w:val="single" w:sz="4" w:space="0" w:color="auto"/>
                </w:tblBorders>
                <w:tblCellMar>
                  <w:right w:w="108" w:type="dxa"/>
                </w:tblCellMar>
              </w:tblPrEx>
              <w:trPr>
                <w:trHeight w:val="393"/>
              </w:trPr>
              <w:tc>
                <w:tcPr>
                  <w:tcW w:w="10416" w:type="dxa"/>
                  <w:gridSpan w:val="8"/>
                  <w:tcBorders>
                    <w:bottom w:val="single" w:sz="4" w:space="0" w:color="auto"/>
                  </w:tcBorders>
                </w:tcPr>
                <w:p w14:paraId="48E06BB4" w14:textId="77777777" w:rsidR="00A351E6" w:rsidRPr="003952AA" w:rsidRDefault="00A351E6" w:rsidP="00A830AC">
                  <w:pPr>
                    <w:spacing w:before="60" w:after="60"/>
                    <w:rPr>
                      <w:rFonts w:ascii="Arial" w:hAnsi="Arial" w:cs="Arial"/>
                      <w:b/>
                      <w:sz w:val="18"/>
                      <w:szCs w:val="18"/>
                    </w:rPr>
                  </w:pPr>
                  <w:r w:rsidRPr="003952AA">
                    <w:rPr>
                      <w:rFonts w:ascii="Arial" w:hAnsi="Arial" w:cs="Arial"/>
                      <w:b/>
                      <w:sz w:val="18"/>
                      <w:szCs w:val="18"/>
                    </w:rPr>
                    <w:t xml:space="preserve">AER: </w:t>
                  </w:r>
                  <w:r w:rsidRPr="003952AA">
                    <w:rPr>
                      <w:rFonts w:ascii="Arial" w:hAnsi="Arial" w:cs="Arial"/>
                      <w:sz w:val="18"/>
                      <w:szCs w:val="18"/>
                    </w:rPr>
                    <w:t>Actual exchange rates used for each respective period.</w:t>
                  </w:r>
                </w:p>
                <w:p w14:paraId="6490AC62" w14:textId="77777777" w:rsidR="00A351E6" w:rsidRPr="003952AA" w:rsidRDefault="00A351E6" w:rsidP="00A830AC">
                  <w:pPr>
                    <w:spacing w:before="60" w:after="60"/>
                    <w:rPr>
                      <w:rFonts w:ascii="Arial" w:hAnsi="Arial" w:cs="Arial"/>
                      <w:sz w:val="18"/>
                      <w:szCs w:val="18"/>
                    </w:rPr>
                  </w:pPr>
                  <w:r w:rsidRPr="003952AA">
                    <w:rPr>
                      <w:rFonts w:ascii="Arial" w:hAnsi="Arial" w:cs="Arial"/>
                      <w:b/>
                      <w:sz w:val="18"/>
                      <w:szCs w:val="18"/>
                    </w:rPr>
                    <w:t xml:space="preserve">CER: </w:t>
                  </w:r>
                  <w:r w:rsidRPr="003952AA">
                    <w:rPr>
                      <w:rFonts w:ascii="Arial" w:hAnsi="Arial" w:cs="Arial"/>
                      <w:sz w:val="18"/>
                      <w:szCs w:val="18"/>
                    </w:rPr>
                    <w:t>Constant exchange rates.</w:t>
                  </w:r>
                </w:p>
                <w:p w14:paraId="1D321D32" w14:textId="77777777" w:rsidR="003F4A19" w:rsidRPr="003952AA" w:rsidRDefault="00BC5515" w:rsidP="00A830AC">
                  <w:pPr>
                    <w:spacing w:before="60" w:after="60"/>
                    <w:rPr>
                      <w:rFonts w:ascii="Arial" w:hAnsi="Arial" w:cs="Arial"/>
                      <w:sz w:val="18"/>
                      <w:szCs w:val="18"/>
                    </w:rPr>
                  </w:pPr>
                  <w:r w:rsidRPr="003952AA">
                    <w:rPr>
                      <w:rFonts w:ascii="Arial" w:hAnsi="Arial" w:cs="Arial"/>
                      <w:b/>
                      <w:sz w:val="18"/>
                      <w:szCs w:val="18"/>
                    </w:rPr>
                    <w:t>RevPAR:</w:t>
                  </w:r>
                  <w:r w:rsidRPr="003952AA">
                    <w:rPr>
                      <w:rFonts w:ascii="Arial" w:hAnsi="Arial" w:cs="Arial"/>
                      <w:sz w:val="18"/>
                      <w:szCs w:val="18"/>
                    </w:rPr>
                    <w:t xml:space="preserve"> Revenue per available room. </w:t>
                  </w:r>
                </w:p>
              </w:tc>
            </w:tr>
          </w:tbl>
          <w:p w14:paraId="5A09EF15" w14:textId="77777777" w:rsidR="001658D7" w:rsidRPr="003952AA" w:rsidRDefault="001658D7" w:rsidP="009D430E">
            <w:pPr>
              <w:spacing w:before="60" w:after="60"/>
              <w:rPr>
                <w:rFonts w:ascii="Arial" w:hAnsi="Arial" w:cs="Arial"/>
                <w:b/>
                <w:sz w:val="18"/>
                <w:szCs w:val="18"/>
              </w:rPr>
            </w:pPr>
          </w:p>
          <w:tbl>
            <w:tblPr>
              <w:tblW w:w="0" w:type="auto"/>
              <w:tblLayout w:type="fixed"/>
              <w:tblLook w:val="00A0" w:firstRow="1" w:lastRow="0" w:firstColumn="1" w:lastColumn="0" w:noHBand="0" w:noVBand="0"/>
            </w:tblPr>
            <w:tblGrid>
              <w:gridCol w:w="5210"/>
              <w:gridCol w:w="994"/>
              <w:gridCol w:w="2126"/>
              <w:gridCol w:w="2090"/>
            </w:tblGrid>
            <w:tr w:rsidR="00BC5515" w:rsidRPr="003952AA" w14:paraId="2B18DF6D" w14:textId="77777777" w:rsidTr="00C65DC2">
              <w:tc>
                <w:tcPr>
                  <w:tcW w:w="10420" w:type="dxa"/>
                  <w:gridSpan w:val="4"/>
                  <w:tcBorders>
                    <w:left w:val="nil"/>
                    <w:bottom w:val="single" w:sz="4" w:space="0" w:color="auto"/>
                    <w:right w:val="nil"/>
                  </w:tcBorders>
                </w:tcPr>
                <w:p w14:paraId="4A25E6ED" w14:textId="77777777" w:rsidR="00BC5515" w:rsidRPr="003952AA" w:rsidRDefault="00BC5515" w:rsidP="001658D7">
                  <w:pPr>
                    <w:spacing w:before="60" w:after="60"/>
                    <w:jc w:val="both"/>
                    <w:rPr>
                      <w:rFonts w:ascii="Arial" w:hAnsi="Arial" w:cs="Arial"/>
                      <w:b/>
                      <w:sz w:val="18"/>
                      <w:szCs w:val="18"/>
                    </w:rPr>
                  </w:pPr>
                  <w:r w:rsidRPr="003952AA">
                    <w:rPr>
                      <w:rFonts w:ascii="Arial" w:hAnsi="Arial" w:cs="Arial"/>
                      <w:b/>
                      <w:sz w:val="18"/>
                      <w:szCs w:val="18"/>
                    </w:rPr>
                    <w:t>For further information, please contact:</w:t>
                  </w:r>
                </w:p>
              </w:tc>
            </w:tr>
            <w:tr w:rsidR="00BC5515" w:rsidRPr="003952AA" w14:paraId="79B3BEC0" w14:textId="77777777" w:rsidTr="00C65DC2">
              <w:tc>
                <w:tcPr>
                  <w:tcW w:w="6204" w:type="dxa"/>
                  <w:gridSpan w:val="2"/>
                  <w:tcBorders>
                    <w:top w:val="single" w:sz="4" w:space="0" w:color="auto"/>
                    <w:left w:val="single" w:sz="4" w:space="0" w:color="auto"/>
                    <w:bottom w:val="nil"/>
                    <w:right w:val="nil"/>
                  </w:tcBorders>
                </w:tcPr>
                <w:p w14:paraId="74401D74" w14:textId="2F0F5464" w:rsidR="00BC5515" w:rsidRPr="003952AA" w:rsidRDefault="00D239F0" w:rsidP="00F9239B">
                  <w:pPr>
                    <w:spacing w:before="60" w:after="60"/>
                    <w:rPr>
                      <w:rFonts w:ascii="Arial" w:hAnsi="Arial" w:cs="Arial"/>
                      <w:sz w:val="18"/>
                      <w:szCs w:val="18"/>
                    </w:rPr>
                  </w:pPr>
                  <w:r w:rsidRPr="003952AA">
                    <w:rPr>
                      <w:rFonts w:ascii="Arial" w:hAnsi="Arial" w:cs="Arial"/>
                      <w:sz w:val="18"/>
                      <w:szCs w:val="18"/>
                    </w:rPr>
                    <w:t>Investor Relations (</w:t>
                  </w:r>
                  <w:r w:rsidR="003B7A7F" w:rsidRPr="003952AA">
                    <w:rPr>
                      <w:rFonts w:ascii="Arial" w:hAnsi="Arial" w:cs="Arial"/>
                      <w:sz w:val="18"/>
                      <w:szCs w:val="18"/>
                    </w:rPr>
                    <w:t>Catherine Dolton</w:t>
                  </w:r>
                  <w:r w:rsidR="00103502" w:rsidRPr="003952AA">
                    <w:rPr>
                      <w:rFonts w:ascii="Arial" w:hAnsi="Arial" w:cs="Arial"/>
                      <w:sz w:val="18"/>
                      <w:szCs w:val="18"/>
                    </w:rPr>
                    <w:t>;</w:t>
                  </w:r>
                  <w:r w:rsidR="007434A8" w:rsidRPr="003952AA">
                    <w:rPr>
                      <w:rFonts w:ascii="Arial" w:hAnsi="Arial" w:cs="Arial"/>
                      <w:sz w:val="18"/>
                      <w:szCs w:val="18"/>
                    </w:rPr>
                    <w:t xml:space="preserve"> Tom Yates</w:t>
                  </w:r>
                  <w:r w:rsidR="003B7A7F" w:rsidRPr="003952AA">
                    <w:rPr>
                      <w:rFonts w:ascii="Arial" w:hAnsi="Arial" w:cs="Arial"/>
                      <w:sz w:val="18"/>
                      <w:szCs w:val="18"/>
                    </w:rPr>
                    <w:t>; Matthew Kay</w:t>
                  </w:r>
                  <w:r w:rsidR="00BC5515" w:rsidRPr="003952AA">
                    <w:rPr>
                      <w:rFonts w:ascii="Arial" w:hAnsi="Arial" w:cs="Arial"/>
                      <w:sz w:val="18"/>
                      <w:szCs w:val="18"/>
                    </w:rPr>
                    <w:t>):</w:t>
                  </w:r>
                </w:p>
              </w:tc>
              <w:tc>
                <w:tcPr>
                  <w:tcW w:w="2126" w:type="dxa"/>
                  <w:tcBorders>
                    <w:top w:val="single" w:sz="4" w:space="0" w:color="auto"/>
                    <w:left w:val="nil"/>
                    <w:bottom w:val="nil"/>
                    <w:right w:val="nil"/>
                  </w:tcBorders>
                  <w:vAlign w:val="center"/>
                </w:tcPr>
                <w:p w14:paraId="5AB6E892" w14:textId="0A8FF528" w:rsidR="00BC5515" w:rsidRPr="003952AA" w:rsidRDefault="00BC5515" w:rsidP="001658D7">
                  <w:pPr>
                    <w:spacing w:before="60" w:after="60"/>
                    <w:rPr>
                      <w:rFonts w:ascii="Arial" w:hAnsi="Arial" w:cs="Arial"/>
                      <w:sz w:val="18"/>
                      <w:szCs w:val="18"/>
                    </w:rPr>
                  </w:pPr>
                  <w:r w:rsidRPr="003952AA">
                    <w:rPr>
                      <w:rFonts w:ascii="Arial" w:hAnsi="Arial" w:cs="Arial"/>
                      <w:sz w:val="18"/>
                      <w:szCs w:val="18"/>
                    </w:rPr>
                    <w:t>+44 (0)1895 512176</w:t>
                  </w:r>
                </w:p>
              </w:tc>
              <w:tc>
                <w:tcPr>
                  <w:tcW w:w="2090" w:type="dxa"/>
                  <w:tcBorders>
                    <w:top w:val="single" w:sz="4" w:space="0" w:color="auto"/>
                    <w:left w:val="nil"/>
                    <w:bottom w:val="nil"/>
                    <w:right w:val="single" w:sz="4" w:space="0" w:color="auto"/>
                  </w:tcBorders>
                  <w:vAlign w:val="center"/>
                </w:tcPr>
                <w:p w14:paraId="36050594" w14:textId="501D0B41" w:rsidR="00BC5515" w:rsidRPr="003952AA" w:rsidRDefault="00D239F0" w:rsidP="001658D7">
                  <w:pPr>
                    <w:spacing w:before="60" w:after="60"/>
                    <w:jc w:val="both"/>
                    <w:rPr>
                      <w:rFonts w:ascii="Arial" w:hAnsi="Arial" w:cs="Arial"/>
                      <w:sz w:val="18"/>
                      <w:szCs w:val="18"/>
                    </w:rPr>
                  </w:pPr>
                  <w:r w:rsidRPr="003952AA">
                    <w:rPr>
                      <w:rFonts w:ascii="Arial" w:hAnsi="Arial" w:cs="Arial"/>
                      <w:sz w:val="18"/>
                      <w:szCs w:val="18"/>
                    </w:rPr>
                    <w:t>+44 (0)</w:t>
                  </w:r>
                  <w:r w:rsidR="003B7A7F" w:rsidRPr="003952AA">
                    <w:rPr>
                      <w:rFonts w:ascii="Arial" w:hAnsi="Arial" w:cs="Arial"/>
                      <w:sz w:val="18"/>
                      <w:szCs w:val="18"/>
                    </w:rPr>
                    <w:t>7527 419431</w:t>
                  </w:r>
                </w:p>
              </w:tc>
            </w:tr>
            <w:tr w:rsidR="00BC5515" w:rsidRPr="003952AA" w14:paraId="40B58DB3" w14:textId="77777777" w:rsidTr="00C65DC2">
              <w:tc>
                <w:tcPr>
                  <w:tcW w:w="6204" w:type="dxa"/>
                  <w:gridSpan w:val="2"/>
                  <w:tcBorders>
                    <w:top w:val="nil"/>
                    <w:left w:val="single" w:sz="4" w:space="0" w:color="auto"/>
                    <w:bottom w:val="single" w:sz="4" w:space="0" w:color="auto"/>
                    <w:right w:val="nil"/>
                  </w:tcBorders>
                  <w:vAlign w:val="center"/>
                </w:tcPr>
                <w:p w14:paraId="7FA9D098" w14:textId="362217D3" w:rsidR="00BC5515" w:rsidRPr="003952AA" w:rsidRDefault="00BC5515" w:rsidP="001658D7">
                  <w:pPr>
                    <w:spacing w:before="60" w:after="60"/>
                    <w:rPr>
                      <w:rFonts w:ascii="Arial" w:hAnsi="Arial" w:cs="Arial"/>
                      <w:sz w:val="18"/>
                      <w:szCs w:val="18"/>
                      <w:lang w:val="de-DE"/>
                    </w:rPr>
                  </w:pPr>
                  <w:r w:rsidRPr="003952AA">
                    <w:rPr>
                      <w:rFonts w:ascii="Arial" w:hAnsi="Arial" w:cs="Arial"/>
                      <w:sz w:val="18"/>
                      <w:szCs w:val="18"/>
                      <w:lang w:val="de-DE"/>
                    </w:rPr>
                    <w:t>Medi</w:t>
                  </w:r>
                  <w:r w:rsidR="00F23EDE" w:rsidRPr="003952AA">
                    <w:rPr>
                      <w:rFonts w:ascii="Arial" w:hAnsi="Arial" w:cs="Arial"/>
                      <w:sz w:val="18"/>
                      <w:szCs w:val="18"/>
                      <w:lang w:val="de-DE"/>
                    </w:rPr>
                    <w:t>a Relations (Yasmin Diamond;</w:t>
                  </w:r>
                  <w:r w:rsidR="00D31900" w:rsidRPr="003952AA">
                    <w:rPr>
                      <w:rFonts w:ascii="Arial" w:hAnsi="Arial" w:cs="Arial"/>
                      <w:sz w:val="18"/>
                      <w:szCs w:val="18"/>
                      <w:lang w:val="de-DE"/>
                    </w:rPr>
                    <w:t xml:space="preserve"> </w:t>
                  </w:r>
                  <w:r w:rsidR="003B7A7F" w:rsidRPr="003952AA">
                    <w:rPr>
                      <w:rFonts w:ascii="Arial" w:hAnsi="Arial" w:cs="Arial"/>
                      <w:sz w:val="18"/>
                      <w:szCs w:val="18"/>
                      <w:lang w:val="de-DE"/>
                    </w:rPr>
                    <w:t>Zoe Bird</w:t>
                  </w:r>
                  <w:r w:rsidR="00576DC2">
                    <w:rPr>
                      <w:rFonts w:ascii="Arial" w:hAnsi="Arial" w:cs="Arial"/>
                      <w:sz w:val="18"/>
                      <w:szCs w:val="18"/>
                      <w:lang w:val="de-DE"/>
                    </w:rPr>
                    <w:t>; Mark Debenham</w:t>
                  </w:r>
                  <w:r w:rsidRPr="003952AA">
                    <w:rPr>
                      <w:rFonts w:ascii="Arial" w:hAnsi="Arial" w:cs="Arial"/>
                      <w:sz w:val="18"/>
                      <w:szCs w:val="18"/>
                      <w:lang w:val="de-DE"/>
                    </w:rPr>
                    <w:t>):</w:t>
                  </w:r>
                </w:p>
              </w:tc>
              <w:tc>
                <w:tcPr>
                  <w:tcW w:w="2126" w:type="dxa"/>
                  <w:tcBorders>
                    <w:top w:val="nil"/>
                    <w:left w:val="nil"/>
                    <w:bottom w:val="single" w:sz="4" w:space="0" w:color="auto"/>
                    <w:right w:val="nil"/>
                  </w:tcBorders>
                  <w:vAlign w:val="center"/>
                </w:tcPr>
                <w:p w14:paraId="30B4595F" w14:textId="4154E75E" w:rsidR="00BC5515" w:rsidRPr="003952AA" w:rsidRDefault="00BC5515" w:rsidP="001658D7">
                  <w:pPr>
                    <w:spacing w:before="60" w:after="60"/>
                    <w:rPr>
                      <w:rFonts w:ascii="Arial" w:hAnsi="Arial" w:cs="Arial"/>
                      <w:sz w:val="18"/>
                      <w:szCs w:val="18"/>
                    </w:rPr>
                  </w:pPr>
                  <w:r w:rsidRPr="003952AA">
                    <w:rPr>
                      <w:rFonts w:ascii="Arial" w:hAnsi="Arial" w:cs="Arial"/>
                      <w:sz w:val="18"/>
                      <w:szCs w:val="18"/>
                    </w:rPr>
                    <w:t>+44 (0)1895 5120</w:t>
                  </w:r>
                  <w:r w:rsidR="00122981" w:rsidRPr="003952AA">
                    <w:rPr>
                      <w:rFonts w:ascii="Arial" w:hAnsi="Arial" w:cs="Arial"/>
                      <w:sz w:val="18"/>
                      <w:szCs w:val="18"/>
                    </w:rPr>
                    <w:t>97</w:t>
                  </w:r>
                </w:p>
              </w:tc>
              <w:tc>
                <w:tcPr>
                  <w:tcW w:w="2090" w:type="dxa"/>
                  <w:tcBorders>
                    <w:top w:val="nil"/>
                    <w:left w:val="nil"/>
                    <w:bottom w:val="single" w:sz="4" w:space="0" w:color="auto"/>
                    <w:right w:val="single" w:sz="4" w:space="0" w:color="auto"/>
                  </w:tcBorders>
                </w:tcPr>
                <w:p w14:paraId="11D5589F" w14:textId="05458DC4" w:rsidR="00BC5515" w:rsidRPr="003952AA" w:rsidRDefault="00BC5515" w:rsidP="001658D7">
                  <w:pPr>
                    <w:spacing w:before="60" w:after="60"/>
                    <w:rPr>
                      <w:rFonts w:ascii="Arial" w:hAnsi="Arial" w:cs="Arial"/>
                      <w:sz w:val="18"/>
                      <w:szCs w:val="18"/>
                    </w:rPr>
                  </w:pPr>
                  <w:r w:rsidRPr="003952AA">
                    <w:rPr>
                      <w:rFonts w:ascii="Arial" w:hAnsi="Arial" w:cs="Arial"/>
                      <w:sz w:val="18"/>
                      <w:szCs w:val="18"/>
                    </w:rPr>
                    <w:t xml:space="preserve">+44 </w:t>
                  </w:r>
                  <w:r w:rsidR="00122981" w:rsidRPr="003952AA">
                    <w:rPr>
                      <w:rFonts w:ascii="Arial" w:hAnsi="Arial" w:cs="Arial"/>
                      <w:sz w:val="18"/>
                      <w:szCs w:val="18"/>
                    </w:rPr>
                    <w:t>(0)7527</w:t>
                  </w:r>
                  <w:r w:rsidR="00D62123" w:rsidRPr="003952AA">
                    <w:rPr>
                      <w:rFonts w:ascii="Arial" w:hAnsi="Arial" w:cs="Arial"/>
                      <w:sz w:val="18"/>
                      <w:szCs w:val="18"/>
                    </w:rPr>
                    <w:t xml:space="preserve"> </w:t>
                  </w:r>
                  <w:r w:rsidR="00122981" w:rsidRPr="003952AA">
                    <w:rPr>
                      <w:rFonts w:ascii="Arial" w:hAnsi="Arial" w:cs="Arial"/>
                      <w:sz w:val="18"/>
                      <w:szCs w:val="18"/>
                    </w:rPr>
                    <w:t>424046</w:t>
                  </w:r>
                </w:p>
              </w:tc>
            </w:tr>
            <w:tr w:rsidR="00BC5515" w:rsidRPr="003952AA" w14:paraId="1CEFD6EE" w14:textId="77777777" w:rsidTr="00C65DC2">
              <w:tc>
                <w:tcPr>
                  <w:tcW w:w="10420" w:type="dxa"/>
                  <w:gridSpan w:val="4"/>
                  <w:tcBorders>
                    <w:top w:val="nil"/>
                    <w:left w:val="nil"/>
                    <w:bottom w:val="single" w:sz="4" w:space="0" w:color="auto"/>
                    <w:right w:val="nil"/>
                  </w:tcBorders>
                </w:tcPr>
                <w:p w14:paraId="6738B35D" w14:textId="77777777" w:rsidR="003952AA" w:rsidRDefault="003952AA" w:rsidP="001658D7">
                  <w:pPr>
                    <w:spacing w:before="60" w:after="60"/>
                    <w:jc w:val="both"/>
                    <w:rPr>
                      <w:rFonts w:ascii="Arial" w:hAnsi="Arial" w:cs="Arial"/>
                      <w:b/>
                      <w:sz w:val="18"/>
                      <w:szCs w:val="18"/>
                    </w:rPr>
                  </w:pPr>
                </w:p>
                <w:p w14:paraId="1009DFE0" w14:textId="00416127" w:rsidR="00BC5515" w:rsidRPr="003952AA" w:rsidRDefault="00BC5515" w:rsidP="001658D7">
                  <w:pPr>
                    <w:spacing w:before="60" w:after="60"/>
                    <w:jc w:val="both"/>
                    <w:rPr>
                      <w:rFonts w:ascii="Arial" w:hAnsi="Arial" w:cs="Arial"/>
                      <w:b/>
                      <w:sz w:val="18"/>
                      <w:szCs w:val="18"/>
                    </w:rPr>
                  </w:pPr>
                  <w:r w:rsidRPr="003952AA">
                    <w:rPr>
                      <w:rFonts w:ascii="Arial" w:hAnsi="Arial" w:cs="Arial"/>
                      <w:b/>
                      <w:sz w:val="18"/>
                      <w:szCs w:val="18"/>
                    </w:rPr>
                    <w:t>Conference call for Analysts and Shareholders:</w:t>
                  </w:r>
                </w:p>
                <w:p w14:paraId="65DE51AA" w14:textId="3411475A" w:rsidR="00BC5515" w:rsidRPr="003952AA" w:rsidRDefault="00BC5515" w:rsidP="007434A8">
                  <w:pPr>
                    <w:spacing w:before="60" w:after="60"/>
                    <w:jc w:val="both"/>
                    <w:rPr>
                      <w:rFonts w:ascii="Arial" w:hAnsi="Arial" w:cs="Arial"/>
                      <w:sz w:val="18"/>
                      <w:szCs w:val="18"/>
                    </w:rPr>
                  </w:pPr>
                  <w:r w:rsidRPr="003952AA">
                    <w:rPr>
                      <w:rFonts w:ascii="Arial" w:hAnsi="Arial" w:cs="Arial"/>
                      <w:sz w:val="18"/>
                      <w:szCs w:val="18"/>
                    </w:rPr>
                    <w:t>A conference call with</w:t>
                  </w:r>
                  <w:r w:rsidR="00B13889" w:rsidRPr="003952AA">
                    <w:rPr>
                      <w:rFonts w:ascii="Arial" w:hAnsi="Arial" w:cs="Arial"/>
                      <w:sz w:val="18"/>
                      <w:szCs w:val="18"/>
                    </w:rPr>
                    <w:t xml:space="preserve"> </w:t>
                  </w:r>
                  <w:r w:rsidRPr="003952AA">
                    <w:rPr>
                      <w:rFonts w:ascii="Arial" w:hAnsi="Arial" w:cs="Arial"/>
                      <w:sz w:val="18"/>
                      <w:szCs w:val="18"/>
                    </w:rPr>
                    <w:t>Paul Edgecliffe-Johnson (Chief Financial Off</w:t>
                  </w:r>
                  <w:r w:rsidR="00D239F0" w:rsidRPr="003952AA">
                    <w:rPr>
                      <w:rFonts w:ascii="Arial" w:hAnsi="Arial" w:cs="Arial"/>
                      <w:sz w:val="18"/>
                      <w:szCs w:val="18"/>
                    </w:rPr>
                    <w:t xml:space="preserve">icer) will commence at </w:t>
                  </w:r>
                  <w:r w:rsidR="00F9239B" w:rsidRPr="003952AA">
                    <w:rPr>
                      <w:rFonts w:ascii="Arial" w:hAnsi="Arial" w:cs="Arial"/>
                      <w:sz w:val="18"/>
                      <w:szCs w:val="18"/>
                    </w:rPr>
                    <w:t>9</w:t>
                  </w:r>
                  <w:r w:rsidR="00ED0E87" w:rsidRPr="003952AA">
                    <w:rPr>
                      <w:rFonts w:ascii="Arial" w:hAnsi="Arial" w:cs="Arial"/>
                      <w:sz w:val="18"/>
                      <w:szCs w:val="18"/>
                    </w:rPr>
                    <w:t>.00am London</w:t>
                  </w:r>
                  <w:r w:rsidRPr="003952AA">
                    <w:rPr>
                      <w:rFonts w:ascii="Arial" w:hAnsi="Arial" w:cs="Arial"/>
                      <w:sz w:val="18"/>
                      <w:szCs w:val="18"/>
                    </w:rPr>
                    <w:t xml:space="preserve"> time on </w:t>
                  </w:r>
                  <w:r w:rsidR="003B7A7F" w:rsidRPr="003952AA">
                    <w:rPr>
                      <w:rFonts w:ascii="Arial" w:hAnsi="Arial" w:cs="Arial"/>
                      <w:sz w:val="18"/>
                      <w:szCs w:val="18"/>
                    </w:rPr>
                    <w:t>4</w:t>
                  </w:r>
                  <w:r w:rsidR="00D239F0" w:rsidRPr="003952AA">
                    <w:rPr>
                      <w:rFonts w:ascii="Arial" w:hAnsi="Arial" w:cs="Arial"/>
                      <w:sz w:val="18"/>
                      <w:szCs w:val="18"/>
                    </w:rPr>
                    <w:t xml:space="preserve"> </w:t>
                  </w:r>
                  <w:r w:rsidR="007434A8" w:rsidRPr="003952AA">
                    <w:rPr>
                      <w:rFonts w:ascii="Arial" w:hAnsi="Arial" w:cs="Arial"/>
                      <w:sz w:val="18"/>
                      <w:szCs w:val="18"/>
                    </w:rPr>
                    <w:t xml:space="preserve">May </w:t>
                  </w:r>
                  <w:r w:rsidRPr="003952AA">
                    <w:rPr>
                      <w:rFonts w:ascii="Arial" w:hAnsi="Arial" w:cs="Arial"/>
                      <w:sz w:val="18"/>
                      <w:szCs w:val="18"/>
                    </w:rPr>
                    <w:t xml:space="preserve">and can be accessed on </w:t>
                  </w:r>
                  <w:hyperlink r:id="rId8" w:history="1">
                    <w:r w:rsidR="003952AA" w:rsidRPr="003952AA">
                      <w:rPr>
                        <w:rStyle w:val="Hyperlink"/>
                        <w:rFonts w:ascii="Arial" w:hAnsi="Arial" w:cs="Arial"/>
                        <w:sz w:val="18"/>
                        <w:szCs w:val="18"/>
                      </w:rPr>
                      <w:t>https://www.ihgplc.com/investors/2018-first-quarter-trading-update</w:t>
                    </w:r>
                  </w:hyperlink>
                  <w:r w:rsidR="002D44DE" w:rsidRPr="002D44DE">
                    <w:rPr>
                      <w:rStyle w:val="Hyperlink"/>
                      <w:rFonts w:ascii="Arial" w:hAnsi="Arial" w:cs="Arial"/>
                      <w:color w:val="auto"/>
                      <w:sz w:val="18"/>
                      <w:szCs w:val="18"/>
                      <w:u w:val="none"/>
                    </w:rPr>
                    <w:t>.</w:t>
                  </w:r>
                  <w:r w:rsidRPr="003952AA">
                    <w:rPr>
                      <w:rFonts w:ascii="Arial" w:hAnsi="Arial" w:cs="Arial"/>
                      <w:sz w:val="18"/>
                      <w:szCs w:val="18"/>
                    </w:rPr>
                    <w:t xml:space="preserve"> There will be an opportunity to ask questions.</w:t>
                  </w:r>
                </w:p>
              </w:tc>
            </w:tr>
            <w:tr w:rsidR="00BC5515" w:rsidRPr="003952AA" w14:paraId="520FE5EE" w14:textId="77777777" w:rsidTr="008143A3">
              <w:tblPrEx>
                <w:tblBorders>
                  <w:top w:val="single" w:sz="4" w:space="0" w:color="auto"/>
                  <w:left w:val="single" w:sz="4" w:space="0" w:color="auto"/>
                  <w:bottom w:val="single" w:sz="4" w:space="0" w:color="auto"/>
                  <w:right w:val="single" w:sz="4" w:space="0" w:color="auto"/>
                </w:tblBorders>
              </w:tblPrEx>
              <w:trPr>
                <w:trHeight w:val="541"/>
              </w:trPr>
              <w:tc>
                <w:tcPr>
                  <w:tcW w:w="5210" w:type="dxa"/>
                  <w:tcBorders>
                    <w:top w:val="single" w:sz="4" w:space="0" w:color="auto"/>
                    <w:bottom w:val="nil"/>
                  </w:tcBorders>
                </w:tcPr>
                <w:p w14:paraId="381518B7" w14:textId="40AF1225" w:rsidR="00BC5515" w:rsidRPr="007F60CD" w:rsidRDefault="008410F1" w:rsidP="003952AA">
                  <w:pPr>
                    <w:spacing w:before="120" w:after="120"/>
                    <w:rPr>
                      <w:rFonts w:ascii="Arial" w:hAnsi="Arial" w:cs="Arial"/>
                      <w:sz w:val="18"/>
                      <w:szCs w:val="18"/>
                      <w:lang w:val="de-DE"/>
                    </w:rPr>
                  </w:pPr>
                  <w:r w:rsidRPr="007F60CD">
                    <w:rPr>
                      <w:rFonts w:ascii="Arial" w:hAnsi="Arial" w:cs="Arial"/>
                      <w:sz w:val="18"/>
                      <w:szCs w:val="18"/>
                      <w:lang w:val="de-DE"/>
                    </w:rPr>
                    <w:t>International dial-in</w:t>
                  </w:r>
                </w:p>
                <w:p w14:paraId="1757F953" w14:textId="2FCB8885" w:rsidR="00667A8D" w:rsidRPr="007F60CD" w:rsidRDefault="00667A8D" w:rsidP="003952AA">
                  <w:pPr>
                    <w:spacing w:before="120" w:after="120"/>
                    <w:rPr>
                      <w:rFonts w:ascii="Arial" w:hAnsi="Arial" w:cs="Arial"/>
                      <w:sz w:val="18"/>
                      <w:szCs w:val="18"/>
                      <w:lang w:val="de-DE"/>
                    </w:rPr>
                  </w:pPr>
                  <w:r w:rsidRPr="007F60CD">
                    <w:rPr>
                      <w:rFonts w:ascii="Arial" w:hAnsi="Arial" w:cs="Arial"/>
                      <w:sz w:val="18"/>
                      <w:szCs w:val="18"/>
                      <w:lang w:val="de-DE"/>
                    </w:rPr>
                    <w:t>UK dial-in</w:t>
                  </w:r>
                </w:p>
                <w:p w14:paraId="159DC220" w14:textId="1028ECE7" w:rsidR="00BC5515" w:rsidRPr="00667A8D" w:rsidRDefault="008410F1" w:rsidP="003952AA">
                  <w:pPr>
                    <w:spacing w:before="120" w:after="120"/>
                    <w:rPr>
                      <w:rFonts w:ascii="Arial" w:hAnsi="Arial" w:cs="Arial"/>
                      <w:sz w:val="18"/>
                      <w:szCs w:val="18"/>
                    </w:rPr>
                  </w:pPr>
                  <w:r w:rsidRPr="00667A8D">
                    <w:rPr>
                      <w:rFonts w:ascii="Arial" w:hAnsi="Arial" w:cs="Arial"/>
                      <w:sz w:val="18"/>
                      <w:szCs w:val="18"/>
                    </w:rPr>
                    <w:t>US dial-in</w:t>
                  </w:r>
                </w:p>
                <w:p w14:paraId="7643E303" w14:textId="63A1732F" w:rsidR="003952AA" w:rsidRPr="00667A8D" w:rsidRDefault="003952AA" w:rsidP="003952AA">
                  <w:pPr>
                    <w:spacing w:before="120" w:after="120"/>
                    <w:rPr>
                      <w:rFonts w:ascii="Arial" w:hAnsi="Arial" w:cs="Arial"/>
                      <w:i/>
                      <w:sz w:val="18"/>
                      <w:szCs w:val="18"/>
                    </w:rPr>
                  </w:pPr>
                  <w:r w:rsidRPr="00667A8D">
                    <w:rPr>
                      <w:rFonts w:ascii="Arial" w:hAnsi="Arial" w:cs="Arial"/>
                      <w:sz w:val="18"/>
                      <w:szCs w:val="18"/>
                    </w:rPr>
                    <w:t>Passcode</w:t>
                  </w:r>
                </w:p>
              </w:tc>
              <w:tc>
                <w:tcPr>
                  <w:tcW w:w="5210" w:type="dxa"/>
                  <w:gridSpan w:val="3"/>
                  <w:tcBorders>
                    <w:top w:val="single" w:sz="4" w:space="0" w:color="auto"/>
                    <w:bottom w:val="nil"/>
                    <w:right w:val="single" w:sz="4" w:space="0" w:color="auto"/>
                  </w:tcBorders>
                </w:tcPr>
                <w:p w14:paraId="2568CE92" w14:textId="5C197227" w:rsidR="00BC5515" w:rsidRPr="00667A8D" w:rsidRDefault="00667A8D" w:rsidP="003952AA">
                  <w:pPr>
                    <w:spacing w:before="120" w:after="120"/>
                    <w:rPr>
                      <w:rFonts w:ascii="Arial" w:hAnsi="Arial" w:cs="Arial"/>
                      <w:sz w:val="18"/>
                      <w:szCs w:val="18"/>
                    </w:rPr>
                  </w:pPr>
                  <w:r w:rsidRPr="00667A8D">
                    <w:rPr>
                      <w:rFonts w:ascii="Arial" w:hAnsi="Arial" w:cs="Arial"/>
                      <w:sz w:val="18"/>
                      <w:szCs w:val="18"/>
                    </w:rPr>
                    <w:t>+44 203 936 2999</w:t>
                  </w:r>
                </w:p>
                <w:p w14:paraId="573D3854" w14:textId="6733D06B" w:rsidR="00667A8D" w:rsidRPr="00667A8D" w:rsidRDefault="00667A8D" w:rsidP="003952AA">
                  <w:pPr>
                    <w:spacing w:before="120" w:after="120"/>
                    <w:rPr>
                      <w:rFonts w:ascii="Arial" w:hAnsi="Arial" w:cs="Arial"/>
                      <w:sz w:val="18"/>
                      <w:szCs w:val="18"/>
                    </w:rPr>
                  </w:pPr>
                  <w:r w:rsidRPr="00667A8D">
                    <w:rPr>
                      <w:rFonts w:ascii="Arial" w:hAnsi="Arial" w:cs="Arial"/>
                      <w:sz w:val="18"/>
                      <w:szCs w:val="18"/>
                    </w:rPr>
                    <w:t>+44 (0)</w:t>
                  </w:r>
                  <w:r>
                    <w:rPr>
                      <w:rFonts w:ascii="Arial" w:hAnsi="Arial" w:cs="Arial"/>
                      <w:sz w:val="18"/>
                      <w:szCs w:val="18"/>
                    </w:rPr>
                    <w:t xml:space="preserve"> </w:t>
                  </w:r>
                  <w:r w:rsidRPr="00667A8D">
                    <w:rPr>
                      <w:rFonts w:ascii="Arial" w:hAnsi="Arial" w:cs="Arial"/>
                      <w:sz w:val="18"/>
                      <w:szCs w:val="18"/>
                    </w:rPr>
                    <w:t>203 936 2999</w:t>
                  </w:r>
                </w:p>
                <w:p w14:paraId="054770C2" w14:textId="605D9B9F" w:rsidR="00BC5515" w:rsidRPr="00667A8D" w:rsidRDefault="00667A8D" w:rsidP="003952AA">
                  <w:pPr>
                    <w:spacing w:before="120" w:after="120"/>
                    <w:rPr>
                      <w:rFonts w:ascii="Arial" w:hAnsi="Arial" w:cs="Arial"/>
                      <w:sz w:val="18"/>
                      <w:szCs w:val="18"/>
                    </w:rPr>
                  </w:pPr>
                  <w:r w:rsidRPr="00667A8D">
                    <w:rPr>
                      <w:rFonts w:ascii="Arial" w:hAnsi="Arial" w:cs="Arial"/>
                      <w:sz w:val="18"/>
                      <w:szCs w:val="18"/>
                    </w:rPr>
                    <w:t>+1 845 213 3398</w:t>
                  </w:r>
                </w:p>
                <w:p w14:paraId="0D60B517" w14:textId="23CAFBB2" w:rsidR="003952AA" w:rsidRPr="00667A8D" w:rsidRDefault="00667A8D" w:rsidP="003952AA">
                  <w:pPr>
                    <w:spacing w:before="120" w:after="120"/>
                    <w:rPr>
                      <w:rFonts w:ascii="Arial" w:hAnsi="Arial" w:cs="Arial"/>
                      <w:sz w:val="18"/>
                      <w:szCs w:val="18"/>
                    </w:rPr>
                  </w:pPr>
                  <w:r w:rsidRPr="00667A8D">
                    <w:rPr>
                      <w:rFonts w:ascii="Arial" w:hAnsi="Arial" w:cs="Arial"/>
                      <w:sz w:val="18"/>
                      <w:szCs w:val="18"/>
                    </w:rPr>
                    <w:t>09 64 60</w:t>
                  </w:r>
                </w:p>
              </w:tc>
            </w:tr>
            <w:tr w:rsidR="00BC5515" w:rsidRPr="003952AA" w14:paraId="1893F165" w14:textId="77777777" w:rsidTr="008143A3">
              <w:tblPrEx>
                <w:tblBorders>
                  <w:top w:val="single" w:sz="4" w:space="0" w:color="auto"/>
                  <w:left w:val="single" w:sz="4" w:space="0" w:color="auto"/>
                  <w:bottom w:val="single" w:sz="4" w:space="0" w:color="auto"/>
                  <w:right w:val="single" w:sz="4" w:space="0" w:color="auto"/>
                </w:tblBorders>
              </w:tblPrEx>
              <w:tc>
                <w:tcPr>
                  <w:tcW w:w="10420" w:type="dxa"/>
                  <w:gridSpan w:val="4"/>
                  <w:tcBorders>
                    <w:top w:val="single" w:sz="4" w:space="0" w:color="auto"/>
                    <w:left w:val="nil"/>
                    <w:bottom w:val="single" w:sz="4" w:space="0" w:color="auto"/>
                    <w:right w:val="nil"/>
                  </w:tcBorders>
                </w:tcPr>
                <w:p w14:paraId="61A65836" w14:textId="77777777" w:rsidR="003952AA" w:rsidRDefault="003952AA" w:rsidP="00D239F0">
                  <w:pPr>
                    <w:pStyle w:val="BodyText"/>
                    <w:spacing w:before="60" w:after="60"/>
                    <w:jc w:val="both"/>
                    <w:rPr>
                      <w:rFonts w:ascii="Arial" w:hAnsi="Arial" w:cs="Arial"/>
                      <w:sz w:val="18"/>
                      <w:szCs w:val="18"/>
                    </w:rPr>
                  </w:pPr>
                </w:p>
                <w:p w14:paraId="72C55D29" w14:textId="66F1392B" w:rsidR="00BC5515" w:rsidRPr="003952AA" w:rsidRDefault="00BC5515" w:rsidP="00D239F0">
                  <w:pPr>
                    <w:pStyle w:val="BodyText"/>
                    <w:spacing w:before="60" w:after="60"/>
                    <w:jc w:val="both"/>
                    <w:rPr>
                      <w:rFonts w:ascii="Arial" w:hAnsi="Arial" w:cs="Arial"/>
                      <w:sz w:val="18"/>
                      <w:szCs w:val="18"/>
                    </w:rPr>
                  </w:pPr>
                  <w:r w:rsidRPr="003952AA">
                    <w:rPr>
                      <w:rFonts w:ascii="Arial" w:hAnsi="Arial" w:cs="Arial"/>
                      <w:sz w:val="18"/>
                      <w:szCs w:val="18"/>
                    </w:rPr>
                    <w:t xml:space="preserve">A replay of the </w:t>
                  </w:r>
                  <w:r w:rsidR="00A253AD" w:rsidRPr="003952AA">
                    <w:rPr>
                      <w:rFonts w:ascii="Arial" w:hAnsi="Arial" w:cs="Arial"/>
                      <w:sz w:val="18"/>
                      <w:szCs w:val="18"/>
                    </w:rPr>
                    <w:t>9</w:t>
                  </w:r>
                  <w:r w:rsidRPr="003952AA">
                    <w:rPr>
                      <w:rFonts w:ascii="Arial" w:hAnsi="Arial" w:cs="Arial"/>
                      <w:sz w:val="18"/>
                      <w:szCs w:val="18"/>
                    </w:rPr>
                    <w:t xml:space="preserve">.00am conference call will be available </w:t>
                  </w:r>
                  <w:r w:rsidR="00667A8D">
                    <w:rPr>
                      <w:rFonts w:ascii="Arial" w:hAnsi="Arial" w:cs="Arial"/>
                      <w:sz w:val="18"/>
                      <w:szCs w:val="18"/>
                    </w:rPr>
                    <w:t>for 7 days from 11:30am London time</w:t>
                  </w:r>
                  <w:r w:rsidRPr="003952AA">
                    <w:rPr>
                      <w:rFonts w:ascii="Arial" w:hAnsi="Arial" w:cs="Arial"/>
                      <w:sz w:val="18"/>
                      <w:szCs w:val="18"/>
                    </w:rPr>
                    <w:t xml:space="preserve"> – details are below:</w:t>
                  </w:r>
                </w:p>
              </w:tc>
            </w:tr>
            <w:tr w:rsidR="00BC5515" w:rsidRPr="003952AA" w14:paraId="4D139D0D" w14:textId="77777777" w:rsidTr="008143A3">
              <w:tblPrEx>
                <w:tblBorders>
                  <w:top w:val="single" w:sz="4" w:space="0" w:color="auto"/>
                  <w:left w:val="single" w:sz="4" w:space="0" w:color="auto"/>
                  <w:bottom w:val="single" w:sz="4" w:space="0" w:color="auto"/>
                  <w:right w:val="single" w:sz="4" w:space="0" w:color="auto"/>
                </w:tblBorders>
              </w:tblPrEx>
              <w:tc>
                <w:tcPr>
                  <w:tcW w:w="5210" w:type="dxa"/>
                  <w:tcBorders>
                    <w:top w:val="single" w:sz="4" w:space="0" w:color="auto"/>
                    <w:bottom w:val="single" w:sz="4" w:space="0" w:color="auto"/>
                    <w:right w:val="nil"/>
                  </w:tcBorders>
                  <w:vAlign w:val="center"/>
                </w:tcPr>
                <w:p w14:paraId="5844F207" w14:textId="77777777" w:rsidR="00667A8D" w:rsidRPr="00667A8D" w:rsidRDefault="00667A8D" w:rsidP="00667A8D">
                  <w:pPr>
                    <w:spacing w:before="120" w:after="120"/>
                    <w:rPr>
                      <w:rFonts w:ascii="Arial" w:hAnsi="Arial" w:cs="Arial"/>
                      <w:sz w:val="18"/>
                      <w:szCs w:val="18"/>
                      <w:lang w:val="de-DE"/>
                    </w:rPr>
                  </w:pPr>
                  <w:r w:rsidRPr="00667A8D">
                    <w:rPr>
                      <w:rFonts w:ascii="Arial" w:hAnsi="Arial" w:cs="Arial"/>
                      <w:sz w:val="18"/>
                      <w:szCs w:val="18"/>
                      <w:lang w:val="de-DE"/>
                    </w:rPr>
                    <w:t>International dial-in</w:t>
                  </w:r>
                </w:p>
                <w:p w14:paraId="6805CD4F" w14:textId="77777777" w:rsidR="00667A8D" w:rsidRPr="00667A8D" w:rsidRDefault="00667A8D" w:rsidP="00667A8D">
                  <w:pPr>
                    <w:spacing w:before="120" w:after="120"/>
                    <w:rPr>
                      <w:rFonts w:ascii="Arial" w:hAnsi="Arial" w:cs="Arial"/>
                      <w:sz w:val="18"/>
                      <w:szCs w:val="18"/>
                      <w:lang w:val="de-DE"/>
                    </w:rPr>
                  </w:pPr>
                  <w:r w:rsidRPr="00667A8D">
                    <w:rPr>
                      <w:rFonts w:ascii="Arial" w:hAnsi="Arial" w:cs="Arial"/>
                      <w:sz w:val="18"/>
                      <w:szCs w:val="18"/>
                      <w:lang w:val="de-DE"/>
                    </w:rPr>
                    <w:t>UK dial-in</w:t>
                  </w:r>
                </w:p>
                <w:p w14:paraId="41A23693" w14:textId="77777777" w:rsidR="00667A8D" w:rsidRPr="00667A8D" w:rsidRDefault="00667A8D" w:rsidP="00667A8D">
                  <w:pPr>
                    <w:spacing w:before="120" w:after="120"/>
                    <w:rPr>
                      <w:rFonts w:ascii="Arial" w:hAnsi="Arial" w:cs="Arial"/>
                      <w:sz w:val="18"/>
                      <w:szCs w:val="18"/>
                    </w:rPr>
                  </w:pPr>
                  <w:r w:rsidRPr="00667A8D">
                    <w:rPr>
                      <w:rFonts w:ascii="Arial" w:hAnsi="Arial" w:cs="Arial"/>
                      <w:sz w:val="18"/>
                      <w:szCs w:val="18"/>
                    </w:rPr>
                    <w:t>US dial-in</w:t>
                  </w:r>
                </w:p>
                <w:p w14:paraId="7EA08123" w14:textId="5918CB68" w:rsidR="003952AA" w:rsidRPr="003952AA" w:rsidRDefault="003952AA" w:rsidP="00667A8D">
                  <w:pPr>
                    <w:pStyle w:val="BodyText"/>
                    <w:spacing w:before="120" w:after="120"/>
                    <w:ind w:left="-108" w:firstLine="108"/>
                    <w:rPr>
                      <w:rFonts w:ascii="Arial" w:hAnsi="Arial" w:cs="Arial"/>
                      <w:i/>
                      <w:sz w:val="18"/>
                      <w:szCs w:val="18"/>
                    </w:rPr>
                  </w:pPr>
                  <w:r w:rsidRPr="003952AA">
                    <w:rPr>
                      <w:rFonts w:ascii="Arial" w:hAnsi="Arial" w:cs="Arial"/>
                      <w:sz w:val="18"/>
                      <w:szCs w:val="18"/>
                    </w:rPr>
                    <w:t>Replay pin</w:t>
                  </w:r>
                </w:p>
              </w:tc>
              <w:tc>
                <w:tcPr>
                  <w:tcW w:w="5210" w:type="dxa"/>
                  <w:gridSpan w:val="3"/>
                  <w:tcBorders>
                    <w:top w:val="single" w:sz="4" w:space="0" w:color="auto"/>
                    <w:left w:val="nil"/>
                    <w:bottom w:val="single" w:sz="4" w:space="0" w:color="auto"/>
                  </w:tcBorders>
                  <w:vAlign w:val="center"/>
                </w:tcPr>
                <w:p w14:paraId="4687F18E" w14:textId="62BE4CB4" w:rsidR="00667A8D" w:rsidRPr="00667A8D" w:rsidRDefault="00667A8D" w:rsidP="00667A8D">
                  <w:pPr>
                    <w:spacing w:before="120" w:after="120"/>
                    <w:rPr>
                      <w:rFonts w:ascii="Arial" w:hAnsi="Arial" w:cs="Arial"/>
                      <w:sz w:val="18"/>
                      <w:szCs w:val="18"/>
                    </w:rPr>
                  </w:pPr>
                  <w:r w:rsidRPr="00667A8D">
                    <w:rPr>
                      <w:rFonts w:ascii="Arial" w:hAnsi="Arial" w:cs="Arial"/>
                      <w:sz w:val="18"/>
                      <w:szCs w:val="18"/>
                    </w:rPr>
                    <w:t xml:space="preserve">+44 </w:t>
                  </w:r>
                  <w:r>
                    <w:rPr>
                      <w:rFonts w:ascii="Arial" w:hAnsi="Arial" w:cs="Arial"/>
                      <w:sz w:val="18"/>
                      <w:szCs w:val="18"/>
                    </w:rPr>
                    <w:t>203 936 3001</w:t>
                  </w:r>
                </w:p>
                <w:p w14:paraId="684AAB93" w14:textId="0331F973" w:rsidR="00667A8D" w:rsidRPr="00667A8D" w:rsidRDefault="00667A8D" w:rsidP="00667A8D">
                  <w:pPr>
                    <w:spacing w:before="120" w:after="120"/>
                    <w:rPr>
                      <w:rFonts w:ascii="Arial" w:hAnsi="Arial" w:cs="Arial"/>
                      <w:sz w:val="18"/>
                      <w:szCs w:val="18"/>
                    </w:rPr>
                  </w:pPr>
                  <w:r w:rsidRPr="00667A8D">
                    <w:rPr>
                      <w:rFonts w:ascii="Arial" w:hAnsi="Arial" w:cs="Arial"/>
                      <w:sz w:val="18"/>
                      <w:szCs w:val="18"/>
                    </w:rPr>
                    <w:t>+44 (0)</w:t>
                  </w:r>
                  <w:r>
                    <w:rPr>
                      <w:rFonts w:ascii="Arial" w:hAnsi="Arial" w:cs="Arial"/>
                      <w:sz w:val="18"/>
                      <w:szCs w:val="18"/>
                    </w:rPr>
                    <w:t xml:space="preserve"> 203 936 3001</w:t>
                  </w:r>
                </w:p>
                <w:p w14:paraId="13A52230" w14:textId="0EB78551" w:rsidR="00667A8D" w:rsidRPr="00667A8D" w:rsidRDefault="00667A8D" w:rsidP="00667A8D">
                  <w:pPr>
                    <w:spacing w:before="120" w:after="120"/>
                    <w:rPr>
                      <w:rFonts w:ascii="Arial" w:hAnsi="Arial" w:cs="Arial"/>
                      <w:sz w:val="18"/>
                      <w:szCs w:val="18"/>
                    </w:rPr>
                  </w:pPr>
                  <w:r w:rsidRPr="00667A8D">
                    <w:rPr>
                      <w:rFonts w:ascii="Arial" w:hAnsi="Arial" w:cs="Arial"/>
                      <w:sz w:val="18"/>
                      <w:szCs w:val="18"/>
                    </w:rPr>
                    <w:t xml:space="preserve">+1 845 </w:t>
                  </w:r>
                  <w:r>
                    <w:rPr>
                      <w:rFonts w:ascii="Arial" w:hAnsi="Arial" w:cs="Arial"/>
                      <w:sz w:val="18"/>
                      <w:szCs w:val="18"/>
                    </w:rPr>
                    <w:t xml:space="preserve">709 8569 </w:t>
                  </w:r>
                </w:p>
                <w:p w14:paraId="6E87068F" w14:textId="0D184590" w:rsidR="003952AA" w:rsidRPr="003952AA" w:rsidRDefault="00667A8D" w:rsidP="00667A8D">
                  <w:pPr>
                    <w:pStyle w:val="BodyText"/>
                    <w:spacing w:before="120" w:after="120"/>
                    <w:rPr>
                      <w:rFonts w:ascii="Arial" w:hAnsi="Arial" w:cs="Arial"/>
                      <w:sz w:val="18"/>
                      <w:szCs w:val="18"/>
                    </w:rPr>
                  </w:pPr>
                  <w:r>
                    <w:rPr>
                      <w:rFonts w:ascii="Arial" w:hAnsi="Arial" w:cs="Arial"/>
                      <w:sz w:val="18"/>
                      <w:szCs w:val="18"/>
                    </w:rPr>
                    <w:t xml:space="preserve">70 95 40 </w:t>
                  </w:r>
                </w:p>
              </w:tc>
            </w:tr>
          </w:tbl>
          <w:p w14:paraId="33D26AC4" w14:textId="77777777" w:rsidR="004E33A8" w:rsidRPr="009D430E" w:rsidRDefault="004E33A8" w:rsidP="009D430E">
            <w:pPr>
              <w:spacing w:before="60" w:after="60"/>
              <w:rPr>
                <w:rFonts w:ascii="Arial" w:hAnsi="Arial" w:cs="Arial"/>
                <w:b/>
              </w:rPr>
            </w:pPr>
          </w:p>
        </w:tc>
      </w:tr>
    </w:tbl>
    <w:p w14:paraId="64FC4BFE" w14:textId="585C40D0" w:rsidR="003952AA" w:rsidRDefault="003952AA"/>
    <w:p w14:paraId="0786E291" w14:textId="77777777" w:rsidR="003D70EF" w:rsidRDefault="003D70EF">
      <w:r>
        <w:br w:type="page"/>
      </w:r>
    </w:p>
    <w:tbl>
      <w:tblPr>
        <w:tblW w:w="10420"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08"/>
        <w:gridCol w:w="5102"/>
        <w:gridCol w:w="5138"/>
        <w:gridCol w:w="72"/>
      </w:tblGrid>
      <w:tr w:rsidR="003952AA" w:rsidRPr="003B7A7F" w14:paraId="423A6172" w14:textId="77777777" w:rsidTr="003952AA">
        <w:trPr>
          <w:gridBefore w:val="1"/>
          <w:gridAfter w:val="1"/>
          <w:wBefore w:w="108" w:type="dxa"/>
          <w:wAfter w:w="72" w:type="dxa"/>
        </w:trPr>
        <w:tc>
          <w:tcPr>
            <w:tcW w:w="10240" w:type="dxa"/>
            <w:gridSpan w:val="2"/>
            <w:tcBorders>
              <w:top w:val="nil"/>
              <w:left w:val="nil"/>
              <w:bottom w:val="nil"/>
              <w:right w:val="nil"/>
            </w:tcBorders>
          </w:tcPr>
          <w:p w14:paraId="45160778" w14:textId="2B200C5C" w:rsidR="003952AA" w:rsidRPr="003952AA" w:rsidRDefault="003952AA" w:rsidP="003952AA">
            <w:pPr>
              <w:spacing w:before="60" w:after="60"/>
              <w:jc w:val="both"/>
              <w:rPr>
                <w:rFonts w:ascii="Arial" w:hAnsi="Arial" w:cs="Arial"/>
                <w:b/>
                <w:sz w:val="18"/>
                <w:szCs w:val="18"/>
              </w:rPr>
            </w:pPr>
            <w:r w:rsidRPr="003952AA">
              <w:rPr>
                <w:rFonts w:ascii="Arial" w:hAnsi="Arial" w:cs="Arial"/>
                <w:b/>
                <w:sz w:val="18"/>
                <w:szCs w:val="18"/>
              </w:rPr>
              <w:lastRenderedPageBreak/>
              <w:t>US conference call and Q&amp;A:</w:t>
            </w:r>
          </w:p>
          <w:p w14:paraId="792958A3" w14:textId="4AFD7B90" w:rsidR="003952AA" w:rsidRPr="003952AA" w:rsidRDefault="003952AA" w:rsidP="003952AA">
            <w:pPr>
              <w:spacing w:before="60" w:after="60"/>
              <w:jc w:val="both"/>
            </w:pPr>
            <w:r w:rsidRPr="003952AA">
              <w:rPr>
                <w:rFonts w:ascii="Arial" w:hAnsi="Arial" w:cs="Arial"/>
                <w:sz w:val="18"/>
                <w:szCs w:val="18"/>
              </w:rPr>
              <w:t xml:space="preserve">There will also be a conference call, primarily for US investors and analysts, at 9.00am New York </w:t>
            </w:r>
            <w:r w:rsidR="003601D4">
              <w:rPr>
                <w:rFonts w:ascii="Arial" w:hAnsi="Arial" w:cs="Arial"/>
                <w:sz w:val="18"/>
                <w:szCs w:val="18"/>
              </w:rPr>
              <w:t xml:space="preserve">(2pm London) </w:t>
            </w:r>
            <w:r w:rsidRPr="003952AA">
              <w:rPr>
                <w:rFonts w:ascii="Arial" w:hAnsi="Arial" w:cs="Arial"/>
                <w:sz w:val="18"/>
                <w:szCs w:val="18"/>
              </w:rPr>
              <w:t>Time on 4 May with Paul Edgecliffe-Johnson (Chief Financial Officer). There will be an opportunity to ask questions.</w:t>
            </w:r>
          </w:p>
        </w:tc>
      </w:tr>
      <w:tr w:rsidR="003601D4" w:rsidRPr="003B7A7F" w14:paraId="39B641C3" w14:textId="77777777" w:rsidTr="005C75E2">
        <w:tblPrEx>
          <w:tblBorders>
            <w:top w:val="single" w:sz="4" w:space="0" w:color="auto"/>
            <w:left w:val="single" w:sz="4" w:space="0" w:color="auto"/>
            <w:bottom w:val="single" w:sz="4" w:space="0" w:color="auto"/>
            <w:right w:val="single" w:sz="4" w:space="0" w:color="auto"/>
          </w:tblBorders>
        </w:tblPrEx>
        <w:trPr>
          <w:trHeight w:val="1198"/>
        </w:trPr>
        <w:tc>
          <w:tcPr>
            <w:tcW w:w="5210" w:type="dxa"/>
            <w:gridSpan w:val="2"/>
            <w:tcBorders>
              <w:top w:val="single" w:sz="4" w:space="0" w:color="auto"/>
            </w:tcBorders>
            <w:vAlign w:val="center"/>
          </w:tcPr>
          <w:p w14:paraId="54B9328C" w14:textId="77777777"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International dial-in</w:t>
            </w:r>
          </w:p>
          <w:p w14:paraId="74C79742" w14:textId="77777777"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US dial-in</w:t>
            </w:r>
          </w:p>
          <w:p w14:paraId="71F3DA82" w14:textId="77777777" w:rsidR="003601D4" w:rsidRPr="003601D4" w:rsidRDefault="003601D4" w:rsidP="003601D4">
            <w:pPr>
              <w:rPr>
                <w:rFonts w:ascii="Arial" w:hAnsi="Arial" w:cs="Arial"/>
                <w:sz w:val="18"/>
                <w:szCs w:val="18"/>
                <w:lang w:val="de-DE"/>
              </w:rPr>
            </w:pPr>
            <w:r w:rsidRPr="003601D4">
              <w:rPr>
                <w:rFonts w:ascii="Arial" w:hAnsi="Arial" w:cs="Arial"/>
                <w:sz w:val="18"/>
                <w:szCs w:val="18"/>
                <w:lang w:val="de-DE"/>
              </w:rPr>
              <w:t>UK dial-in</w:t>
            </w:r>
          </w:p>
          <w:p w14:paraId="5FD5006C" w14:textId="3312B2FA" w:rsidR="003601D4" w:rsidRPr="003601D4" w:rsidRDefault="003601D4" w:rsidP="003601D4">
            <w:pPr>
              <w:spacing w:before="60" w:after="60"/>
              <w:rPr>
                <w:rFonts w:ascii="Arial" w:hAnsi="Arial" w:cs="Arial"/>
                <w:sz w:val="18"/>
                <w:szCs w:val="18"/>
                <w:lang w:val="de-DE"/>
              </w:rPr>
            </w:pPr>
            <w:r w:rsidRPr="003601D4">
              <w:rPr>
                <w:rFonts w:ascii="Arial" w:hAnsi="Arial" w:cs="Arial"/>
                <w:sz w:val="18"/>
                <w:szCs w:val="18"/>
              </w:rPr>
              <w:t>Passcode</w:t>
            </w:r>
          </w:p>
        </w:tc>
        <w:tc>
          <w:tcPr>
            <w:tcW w:w="5210" w:type="dxa"/>
            <w:gridSpan w:val="2"/>
            <w:tcBorders>
              <w:top w:val="single" w:sz="4" w:space="0" w:color="auto"/>
            </w:tcBorders>
            <w:vAlign w:val="center"/>
          </w:tcPr>
          <w:p w14:paraId="604F7547" w14:textId="77777777"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+44 203 936 2999</w:t>
            </w:r>
          </w:p>
          <w:p w14:paraId="3456A90E" w14:textId="57A33180"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 xml:space="preserve">+ </w:t>
            </w:r>
            <w:r w:rsidR="005E73EF" w:rsidRPr="003601D4">
              <w:rPr>
                <w:rFonts w:ascii="Arial" w:hAnsi="Arial" w:cs="Arial"/>
                <w:sz w:val="18"/>
                <w:szCs w:val="18"/>
              </w:rPr>
              <w:t>1 845</w:t>
            </w:r>
            <w:r w:rsidRPr="003601D4">
              <w:rPr>
                <w:rFonts w:ascii="Arial" w:hAnsi="Arial" w:cs="Arial"/>
                <w:sz w:val="18"/>
                <w:szCs w:val="18"/>
              </w:rPr>
              <w:t xml:space="preserve"> 213 3398  </w:t>
            </w:r>
          </w:p>
          <w:p w14:paraId="11599770" w14:textId="42F99BA9"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+44 (0)</w:t>
            </w:r>
            <w:r w:rsidR="00AF5795">
              <w:rPr>
                <w:rFonts w:ascii="Arial" w:hAnsi="Arial" w:cs="Arial"/>
                <w:sz w:val="18"/>
                <w:szCs w:val="18"/>
              </w:rPr>
              <w:t xml:space="preserve"> </w:t>
            </w:r>
            <w:r w:rsidRPr="003601D4">
              <w:rPr>
                <w:rFonts w:ascii="Arial" w:hAnsi="Arial" w:cs="Arial"/>
                <w:sz w:val="18"/>
                <w:szCs w:val="18"/>
              </w:rPr>
              <w:t>203 936 2999</w:t>
            </w:r>
          </w:p>
          <w:p w14:paraId="42FB31E7" w14:textId="2C2BBDDF"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29 22 26</w:t>
            </w:r>
          </w:p>
        </w:tc>
      </w:tr>
      <w:tr w:rsidR="003952AA" w:rsidRPr="003B7A7F" w14:paraId="5379A059" w14:textId="77777777" w:rsidTr="003601D4">
        <w:tblPrEx>
          <w:tblBorders>
            <w:top w:val="single" w:sz="4" w:space="0" w:color="auto"/>
            <w:left w:val="single" w:sz="4" w:space="0" w:color="auto"/>
            <w:bottom w:val="single" w:sz="4" w:space="0" w:color="auto"/>
            <w:right w:val="single" w:sz="4" w:space="0" w:color="auto"/>
          </w:tblBorders>
        </w:tblPrEx>
        <w:trPr>
          <w:trHeight w:val="301"/>
        </w:trPr>
        <w:tc>
          <w:tcPr>
            <w:tcW w:w="10420" w:type="dxa"/>
            <w:gridSpan w:val="4"/>
            <w:tcBorders>
              <w:top w:val="single" w:sz="4" w:space="0" w:color="auto"/>
              <w:left w:val="nil"/>
              <w:bottom w:val="single" w:sz="4" w:space="0" w:color="auto"/>
              <w:right w:val="nil"/>
            </w:tcBorders>
          </w:tcPr>
          <w:p w14:paraId="33EAD852" w14:textId="37273E10" w:rsidR="003952AA" w:rsidRPr="003B7A7F" w:rsidRDefault="003601D4" w:rsidP="000677BD">
            <w:pPr>
              <w:pStyle w:val="BodyText"/>
              <w:spacing w:before="60" w:after="60"/>
              <w:jc w:val="both"/>
              <w:rPr>
                <w:rFonts w:ascii="Arial" w:hAnsi="Arial" w:cs="Arial"/>
                <w:sz w:val="18"/>
                <w:szCs w:val="18"/>
                <w:highlight w:val="yellow"/>
              </w:rPr>
            </w:pPr>
            <w:r w:rsidRPr="003952AA">
              <w:rPr>
                <w:rFonts w:ascii="Arial" w:hAnsi="Arial" w:cs="Arial"/>
                <w:sz w:val="18"/>
                <w:szCs w:val="18"/>
              </w:rPr>
              <w:t xml:space="preserve">A replay of the </w:t>
            </w:r>
            <w:r>
              <w:rPr>
                <w:rFonts w:ascii="Arial" w:hAnsi="Arial" w:cs="Arial"/>
                <w:sz w:val="18"/>
                <w:szCs w:val="18"/>
              </w:rPr>
              <w:t>2.00p</w:t>
            </w:r>
            <w:r w:rsidRPr="003952AA">
              <w:rPr>
                <w:rFonts w:ascii="Arial" w:hAnsi="Arial" w:cs="Arial"/>
                <w:sz w:val="18"/>
                <w:szCs w:val="18"/>
              </w:rPr>
              <w:t xml:space="preserve">m conference call will be available </w:t>
            </w:r>
            <w:r>
              <w:rPr>
                <w:rFonts w:ascii="Arial" w:hAnsi="Arial" w:cs="Arial"/>
                <w:sz w:val="18"/>
                <w:szCs w:val="18"/>
              </w:rPr>
              <w:t>for 7 days from 5pm London time</w:t>
            </w:r>
            <w:r w:rsidRPr="003952AA">
              <w:rPr>
                <w:rFonts w:ascii="Arial" w:hAnsi="Arial" w:cs="Arial"/>
                <w:sz w:val="18"/>
                <w:szCs w:val="18"/>
              </w:rPr>
              <w:t xml:space="preserve"> – details are below:</w:t>
            </w:r>
          </w:p>
        </w:tc>
      </w:tr>
      <w:tr w:rsidR="003601D4" w:rsidRPr="003B7A7F" w14:paraId="6CD3BC29" w14:textId="77777777" w:rsidTr="003601D4">
        <w:tblPrEx>
          <w:tblBorders>
            <w:top w:val="single" w:sz="4" w:space="0" w:color="auto"/>
            <w:left w:val="single" w:sz="4" w:space="0" w:color="auto"/>
            <w:bottom w:val="single" w:sz="4" w:space="0" w:color="auto"/>
            <w:right w:val="single" w:sz="4" w:space="0" w:color="auto"/>
          </w:tblBorders>
        </w:tblPrEx>
        <w:trPr>
          <w:trHeight w:val="931"/>
        </w:trPr>
        <w:tc>
          <w:tcPr>
            <w:tcW w:w="5210" w:type="dxa"/>
            <w:gridSpan w:val="2"/>
            <w:tcBorders>
              <w:top w:val="single" w:sz="4" w:space="0" w:color="auto"/>
              <w:bottom w:val="single" w:sz="4" w:space="0" w:color="auto"/>
            </w:tcBorders>
            <w:vAlign w:val="center"/>
          </w:tcPr>
          <w:p w14:paraId="5A0109AA" w14:textId="77777777"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International dial-in</w:t>
            </w:r>
          </w:p>
          <w:p w14:paraId="74DCB182" w14:textId="77777777"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US dial-in</w:t>
            </w:r>
          </w:p>
          <w:p w14:paraId="5192BC37" w14:textId="77777777" w:rsidR="003601D4" w:rsidRPr="003601D4" w:rsidRDefault="003601D4" w:rsidP="003601D4">
            <w:pPr>
              <w:rPr>
                <w:rFonts w:ascii="Arial" w:hAnsi="Arial" w:cs="Arial"/>
                <w:sz w:val="18"/>
                <w:szCs w:val="18"/>
                <w:lang w:val="de-DE"/>
              </w:rPr>
            </w:pPr>
            <w:r w:rsidRPr="003601D4">
              <w:rPr>
                <w:rFonts w:ascii="Arial" w:hAnsi="Arial" w:cs="Arial"/>
                <w:sz w:val="18"/>
                <w:szCs w:val="18"/>
                <w:lang w:val="de-DE"/>
              </w:rPr>
              <w:t>UK dial-in</w:t>
            </w:r>
          </w:p>
          <w:p w14:paraId="0DA8AA66" w14:textId="054B6AB8" w:rsidR="003601D4" w:rsidRPr="003B7A7F" w:rsidRDefault="003601D4" w:rsidP="003601D4">
            <w:pPr>
              <w:pStyle w:val="BodyText"/>
              <w:spacing w:before="60" w:after="60"/>
              <w:ind w:left="-108" w:firstLine="108"/>
              <w:rPr>
                <w:rFonts w:ascii="Arial" w:hAnsi="Arial" w:cs="Arial"/>
                <w:sz w:val="18"/>
                <w:szCs w:val="18"/>
                <w:highlight w:val="yellow"/>
              </w:rPr>
            </w:pPr>
            <w:r w:rsidRPr="003601D4">
              <w:rPr>
                <w:rFonts w:ascii="Arial" w:hAnsi="Arial" w:cs="Arial"/>
                <w:sz w:val="18"/>
                <w:szCs w:val="18"/>
              </w:rPr>
              <w:t>Passcode</w:t>
            </w:r>
          </w:p>
        </w:tc>
        <w:tc>
          <w:tcPr>
            <w:tcW w:w="5210" w:type="dxa"/>
            <w:gridSpan w:val="2"/>
            <w:tcBorders>
              <w:top w:val="single" w:sz="4" w:space="0" w:color="auto"/>
              <w:bottom w:val="single" w:sz="4" w:space="0" w:color="auto"/>
            </w:tcBorders>
            <w:vAlign w:val="center"/>
          </w:tcPr>
          <w:p w14:paraId="21952C8E" w14:textId="12708C46" w:rsidR="003601D4" w:rsidRPr="003601D4" w:rsidRDefault="003601D4" w:rsidP="003601D4">
            <w:pPr>
              <w:spacing w:before="60" w:after="60"/>
              <w:rPr>
                <w:rFonts w:ascii="Arial" w:hAnsi="Arial" w:cs="Arial"/>
                <w:sz w:val="18"/>
                <w:szCs w:val="18"/>
              </w:rPr>
            </w:pPr>
            <w:r>
              <w:rPr>
                <w:rFonts w:ascii="Arial" w:hAnsi="Arial" w:cs="Arial"/>
                <w:sz w:val="18"/>
                <w:szCs w:val="18"/>
              </w:rPr>
              <w:t>+44 203 936 3001</w:t>
            </w:r>
          </w:p>
          <w:p w14:paraId="72DB0C1D" w14:textId="1FABBF14" w:rsidR="003601D4" w:rsidRPr="003601D4" w:rsidRDefault="003601D4" w:rsidP="003601D4">
            <w:pPr>
              <w:spacing w:before="60" w:after="60"/>
              <w:rPr>
                <w:rFonts w:ascii="Arial" w:hAnsi="Arial" w:cs="Arial"/>
                <w:sz w:val="18"/>
                <w:szCs w:val="18"/>
              </w:rPr>
            </w:pPr>
            <w:r w:rsidRPr="003601D4">
              <w:rPr>
                <w:rFonts w:ascii="Arial" w:hAnsi="Arial" w:cs="Arial"/>
                <w:sz w:val="18"/>
                <w:szCs w:val="18"/>
              </w:rPr>
              <w:t xml:space="preserve">+ </w:t>
            </w:r>
            <w:r w:rsidR="005E73EF" w:rsidRPr="003601D4">
              <w:rPr>
                <w:rFonts w:ascii="Arial" w:hAnsi="Arial" w:cs="Arial"/>
                <w:sz w:val="18"/>
                <w:szCs w:val="18"/>
              </w:rPr>
              <w:t>1 845</w:t>
            </w:r>
            <w:r w:rsidRPr="003601D4">
              <w:rPr>
                <w:rFonts w:ascii="Arial" w:hAnsi="Arial" w:cs="Arial"/>
                <w:sz w:val="18"/>
                <w:szCs w:val="18"/>
              </w:rPr>
              <w:t xml:space="preserve"> </w:t>
            </w:r>
            <w:r>
              <w:rPr>
                <w:rFonts w:ascii="Arial" w:hAnsi="Arial" w:cs="Arial"/>
                <w:sz w:val="18"/>
                <w:szCs w:val="18"/>
              </w:rPr>
              <w:t xml:space="preserve">709 8569 </w:t>
            </w:r>
            <w:r w:rsidRPr="003601D4">
              <w:rPr>
                <w:rFonts w:ascii="Arial" w:hAnsi="Arial" w:cs="Arial"/>
                <w:sz w:val="18"/>
                <w:szCs w:val="18"/>
              </w:rPr>
              <w:t>  </w:t>
            </w:r>
          </w:p>
          <w:p w14:paraId="586CAE25" w14:textId="028205E7" w:rsidR="003601D4" w:rsidRPr="003601D4" w:rsidRDefault="003601D4" w:rsidP="003601D4">
            <w:pPr>
              <w:spacing w:before="60" w:after="60"/>
              <w:rPr>
                <w:rFonts w:ascii="Arial" w:hAnsi="Arial" w:cs="Arial"/>
                <w:sz w:val="18"/>
                <w:szCs w:val="18"/>
              </w:rPr>
            </w:pPr>
            <w:r>
              <w:rPr>
                <w:rFonts w:ascii="Arial" w:hAnsi="Arial" w:cs="Arial"/>
                <w:sz w:val="18"/>
                <w:szCs w:val="18"/>
              </w:rPr>
              <w:t>+44 (0)</w:t>
            </w:r>
            <w:r w:rsidR="00AF5795">
              <w:rPr>
                <w:rFonts w:ascii="Arial" w:hAnsi="Arial" w:cs="Arial"/>
                <w:sz w:val="18"/>
                <w:szCs w:val="18"/>
              </w:rPr>
              <w:t xml:space="preserve"> </w:t>
            </w:r>
            <w:r>
              <w:rPr>
                <w:rFonts w:ascii="Arial" w:hAnsi="Arial" w:cs="Arial"/>
                <w:sz w:val="18"/>
                <w:szCs w:val="18"/>
              </w:rPr>
              <w:t>203 936 3001</w:t>
            </w:r>
          </w:p>
          <w:p w14:paraId="326F2463" w14:textId="7D1C4B5B" w:rsidR="003601D4" w:rsidRPr="003B7A7F" w:rsidRDefault="003601D4" w:rsidP="003601D4">
            <w:pPr>
              <w:pStyle w:val="BodyText"/>
              <w:spacing w:before="60" w:after="60"/>
              <w:rPr>
                <w:rFonts w:ascii="Arial" w:hAnsi="Arial" w:cs="Arial"/>
                <w:sz w:val="18"/>
                <w:szCs w:val="18"/>
                <w:highlight w:val="yellow"/>
              </w:rPr>
            </w:pPr>
            <w:r>
              <w:rPr>
                <w:rFonts w:ascii="Arial" w:hAnsi="Arial" w:cs="Arial"/>
                <w:sz w:val="18"/>
                <w:szCs w:val="18"/>
              </w:rPr>
              <w:t xml:space="preserve">20 16 82 </w:t>
            </w:r>
          </w:p>
        </w:tc>
      </w:tr>
      <w:tr w:rsidR="003952AA" w:rsidRPr="003952AA" w14:paraId="1D7CE926" w14:textId="77777777" w:rsidTr="003601D4">
        <w:tblPrEx>
          <w:tblBorders>
            <w:top w:val="none" w:sz="0" w:space="0" w:color="auto"/>
            <w:left w:val="none" w:sz="0" w:space="0" w:color="auto"/>
            <w:bottom w:val="none" w:sz="0" w:space="0" w:color="auto"/>
            <w:right w:val="none" w:sz="0" w:space="0" w:color="auto"/>
          </w:tblBorders>
        </w:tblPrEx>
        <w:tc>
          <w:tcPr>
            <w:tcW w:w="10420" w:type="dxa"/>
            <w:gridSpan w:val="4"/>
            <w:tcBorders>
              <w:top w:val="single" w:sz="4" w:space="0" w:color="auto"/>
            </w:tcBorders>
          </w:tcPr>
          <w:p w14:paraId="79D566DF" w14:textId="77777777" w:rsidR="003601D4" w:rsidRPr="00B0643C" w:rsidRDefault="003601D4" w:rsidP="000677BD">
            <w:pPr>
              <w:pStyle w:val="Heading1"/>
              <w:spacing w:before="60" w:after="60"/>
              <w:rPr>
                <w:rFonts w:ascii="Arial" w:hAnsi="Arial" w:cs="Arial"/>
                <w:b/>
                <w:sz w:val="18"/>
                <w:szCs w:val="18"/>
                <w:highlight w:val="yellow"/>
              </w:rPr>
            </w:pPr>
          </w:p>
          <w:p w14:paraId="39A93C3E" w14:textId="646E62E9" w:rsidR="003952AA" w:rsidRPr="00B0643C" w:rsidRDefault="003952AA" w:rsidP="000677BD">
            <w:pPr>
              <w:pStyle w:val="Heading1"/>
              <w:spacing w:before="60" w:after="60"/>
              <w:rPr>
                <w:rFonts w:ascii="Arial" w:hAnsi="Arial" w:cs="Arial"/>
                <w:b/>
                <w:sz w:val="18"/>
                <w:szCs w:val="18"/>
              </w:rPr>
            </w:pPr>
            <w:r w:rsidRPr="00B0643C">
              <w:rPr>
                <w:rFonts w:ascii="Arial" w:hAnsi="Arial" w:cs="Arial"/>
                <w:b/>
                <w:sz w:val="18"/>
                <w:szCs w:val="18"/>
                <w:highlight w:val="yellow"/>
              </w:rPr>
              <w:br/>
            </w:r>
            <w:r w:rsidRPr="00B0643C">
              <w:rPr>
                <w:rFonts w:ascii="Arial" w:hAnsi="Arial" w:cs="Arial"/>
                <w:b/>
                <w:sz w:val="18"/>
                <w:szCs w:val="18"/>
              </w:rPr>
              <w:t>Website:</w:t>
            </w:r>
          </w:p>
          <w:p w14:paraId="2C78DA43" w14:textId="1BBF7AB9" w:rsidR="003952AA" w:rsidRPr="00B0643C" w:rsidRDefault="003952AA" w:rsidP="000677BD">
            <w:pPr>
              <w:spacing w:before="60" w:after="60"/>
              <w:jc w:val="both"/>
              <w:rPr>
                <w:rFonts w:ascii="Arial" w:hAnsi="Arial" w:cs="Arial"/>
                <w:sz w:val="18"/>
                <w:szCs w:val="18"/>
              </w:rPr>
            </w:pPr>
            <w:r w:rsidRPr="00B0643C">
              <w:rPr>
                <w:rFonts w:ascii="Arial" w:hAnsi="Arial" w:cs="Arial"/>
                <w:sz w:val="18"/>
                <w:szCs w:val="18"/>
              </w:rPr>
              <w:t xml:space="preserve">The full release and supplementary data will be available on our website from 7.00am (London time) on 4 May. The web address is </w:t>
            </w:r>
            <w:r w:rsidRPr="00B0643C">
              <w:rPr>
                <w:rFonts w:ascii="Arial" w:hAnsi="Arial" w:cs="Arial"/>
                <w:sz w:val="18"/>
                <w:szCs w:val="18"/>
                <w:shd w:val="clear" w:color="auto" w:fill="FFFFFF"/>
              </w:rPr>
              <w:t>www.ihgplc.com/investors/results-and-presentations</w:t>
            </w:r>
            <w:r w:rsidR="00523053" w:rsidRPr="00B0643C">
              <w:rPr>
                <w:rFonts w:ascii="Arial" w:hAnsi="Arial" w:cs="Arial"/>
                <w:sz w:val="18"/>
                <w:szCs w:val="18"/>
                <w:shd w:val="clear" w:color="auto" w:fill="FFFFFF"/>
              </w:rPr>
              <w:t>.</w:t>
            </w:r>
          </w:p>
          <w:p w14:paraId="3359F79C" w14:textId="77777777" w:rsidR="003952AA" w:rsidRPr="00B0643C" w:rsidRDefault="003952AA" w:rsidP="000677BD">
            <w:pPr>
              <w:spacing w:before="60" w:after="60"/>
              <w:jc w:val="both"/>
              <w:rPr>
                <w:rFonts w:ascii="Arial" w:hAnsi="Arial" w:cs="Arial"/>
                <w:sz w:val="18"/>
                <w:szCs w:val="18"/>
                <w:highlight w:val="yellow"/>
              </w:rPr>
            </w:pPr>
          </w:p>
        </w:tc>
      </w:tr>
      <w:tr w:rsidR="003952AA" w:rsidRPr="003952AA" w14:paraId="5AD42E87" w14:textId="77777777" w:rsidTr="003952AA">
        <w:tblPrEx>
          <w:tblBorders>
            <w:top w:val="none" w:sz="0" w:space="0" w:color="auto"/>
            <w:left w:val="none" w:sz="0" w:space="0" w:color="auto"/>
            <w:bottom w:val="none" w:sz="0" w:space="0" w:color="auto"/>
            <w:right w:val="none" w:sz="0" w:space="0" w:color="auto"/>
          </w:tblBorders>
        </w:tblPrEx>
        <w:tc>
          <w:tcPr>
            <w:tcW w:w="10420" w:type="dxa"/>
            <w:gridSpan w:val="4"/>
          </w:tcPr>
          <w:p w14:paraId="39F7F0CE" w14:textId="77777777" w:rsidR="00B0643C" w:rsidRPr="00F61597" w:rsidRDefault="00B0643C" w:rsidP="00F61597">
            <w:pPr>
              <w:pStyle w:val="Heading1"/>
              <w:spacing w:before="60" w:after="60"/>
              <w:rPr>
                <w:rFonts w:ascii="Arial" w:hAnsi="Arial" w:cs="Arial"/>
                <w:b/>
                <w:sz w:val="18"/>
                <w:szCs w:val="18"/>
              </w:rPr>
            </w:pPr>
            <w:r w:rsidRPr="00F61597">
              <w:rPr>
                <w:rFonts w:ascii="Arial" w:hAnsi="Arial" w:cs="Arial"/>
                <w:b/>
                <w:sz w:val="18"/>
                <w:szCs w:val="18"/>
              </w:rPr>
              <w:t>Notes to Editors:</w:t>
            </w:r>
          </w:p>
          <w:p w14:paraId="77DDE17B" w14:textId="77777777" w:rsidR="00B0643C" w:rsidRPr="00F61597" w:rsidRDefault="005664AE" w:rsidP="00B0643C">
            <w:pPr>
              <w:jc w:val="both"/>
              <w:rPr>
                <w:rFonts w:ascii="Arial" w:hAnsi="Arial" w:cs="Arial"/>
                <w:sz w:val="18"/>
                <w:szCs w:val="18"/>
              </w:rPr>
            </w:pPr>
            <w:hyperlink r:id="rId9" w:history="1">
              <w:r w:rsidR="00B0643C" w:rsidRPr="00F61597">
                <w:rPr>
                  <w:rStyle w:val="Hyperlink"/>
                  <w:rFonts w:ascii="Arial" w:hAnsi="Arial" w:cs="Arial"/>
                  <w:sz w:val="18"/>
                  <w:szCs w:val="18"/>
                </w:rPr>
                <w:t>IHG</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(InterContinental Hotels Group)</w:t>
              </w:r>
            </w:hyperlink>
            <w:r w:rsidR="00B0643C" w:rsidRPr="00F61597">
              <w:rPr>
                <w:rFonts w:ascii="Arial" w:hAnsi="Arial" w:cs="Arial"/>
                <w:sz w:val="18"/>
                <w:szCs w:val="18"/>
              </w:rPr>
              <w:t xml:space="preserve"> [LON:IHG, NYSE:IHG (ADRs)] is a global organisation with a broad portfolio of hotel brands, including </w:t>
            </w:r>
            <w:hyperlink r:id="rId10" w:history="1">
              <w:r w:rsidR="00B0643C" w:rsidRPr="00F61597">
                <w:rPr>
                  <w:rStyle w:val="Hyperlink"/>
                  <w:rFonts w:ascii="Arial" w:hAnsi="Arial" w:cs="Arial"/>
                  <w:sz w:val="18"/>
                  <w:szCs w:val="18"/>
                </w:rPr>
                <w:t>InterContinental</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Hotels &amp; Resorts</w:t>
              </w:r>
            </w:hyperlink>
            <w:r w:rsidR="00B0643C" w:rsidRPr="00F61597">
              <w:rPr>
                <w:rFonts w:ascii="Arial" w:hAnsi="Arial" w:cs="Arial"/>
                <w:sz w:val="18"/>
                <w:szCs w:val="18"/>
              </w:rPr>
              <w:t xml:space="preserve">, </w:t>
            </w:r>
            <w:hyperlink r:id="rId11" w:history="1">
              <w:r w:rsidR="00B0643C" w:rsidRPr="00F61597">
                <w:rPr>
                  <w:rStyle w:val="Hyperlink"/>
                  <w:rFonts w:ascii="Arial" w:hAnsi="Arial" w:cs="Arial"/>
                  <w:sz w:val="18"/>
                  <w:szCs w:val="18"/>
                </w:rPr>
                <w:t>Kimpton</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Hotels &amp; Restaurants</w:t>
              </w:r>
            </w:hyperlink>
            <w:r w:rsidR="00B0643C" w:rsidRPr="00F61597">
              <w:rPr>
                <w:rFonts w:ascii="Arial" w:hAnsi="Arial" w:cs="Arial"/>
                <w:sz w:val="18"/>
                <w:szCs w:val="18"/>
              </w:rPr>
              <w:t xml:space="preserve">, </w:t>
            </w:r>
            <w:hyperlink r:id="rId12" w:history="1">
              <w:r w:rsidR="00B0643C" w:rsidRPr="00F61597">
                <w:rPr>
                  <w:rStyle w:val="Hyperlink"/>
                  <w:rFonts w:ascii="Arial" w:hAnsi="Arial" w:cs="Arial"/>
                  <w:sz w:val="18"/>
                  <w:szCs w:val="18"/>
                </w:rPr>
                <w:t>Hotel Indigo</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hyperlink r:id="rId13" w:history="1">
              <w:r w:rsidR="00B0643C" w:rsidRPr="00F61597">
                <w:rPr>
                  <w:rStyle w:val="Hyperlink"/>
                  <w:rFonts w:ascii="Arial" w:hAnsi="Arial" w:cs="Arial"/>
                  <w:sz w:val="18"/>
                  <w:szCs w:val="18"/>
                </w:rPr>
                <w:t>EVEN</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Hotels</w:t>
              </w:r>
            </w:hyperlink>
            <w:r w:rsidR="00B0643C" w:rsidRPr="00F61597">
              <w:rPr>
                <w:rFonts w:ascii="Arial" w:hAnsi="Arial" w:cs="Arial"/>
                <w:sz w:val="18"/>
                <w:szCs w:val="18"/>
              </w:rPr>
              <w:t xml:space="preserve">, </w:t>
            </w:r>
            <w:hyperlink r:id="rId14" w:history="1">
              <w:r w:rsidR="00B0643C" w:rsidRPr="00F61597">
                <w:rPr>
                  <w:rStyle w:val="Hyperlink"/>
                  <w:rFonts w:ascii="Arial" w:hAnsi="Arial" w:cs="Arial"/>
                  <w:sz w:val="18"/>
                  <w:szCs w:val="18"/>
                </w:rPr>
                <w:t>HUALUXE</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Hotels and Resorts</w:t>
              </w:r>
            </w:hyperlink>
            <w:r w:rsidR="00B0643C" w:rsidRPr="00F61597">
              <w:rPr>
                <w:rFonts w:ascii="Arial" w:hAnsi="Arial" w:cs="Arial"/>
                <w:sz w:val="18"/>
                <w:szCs w:val="18"/>
              </w:rPr>
              <w:t xml:space="preserve">, </w:t>
            </w:r>
            <w:hyperlink r:id="rId15" w:history="1">
              <w:r w:rsidR="00B0643C" w:rsidRPr="00F61597">
                <w:rPr>
                  <w:rStyle w:val="Hyperlink"/>
                  <w:rFonts w:ascii="Arial" w:hAnsi="Arial" w:cs="Arial"/>
                  <w:sz w:val="18"/>
                  <w:szCs w:val="18"/>
                </w:rPr>
                <w:t>Crowne Plaza</w:t>
              </w:r>
              <w:r w:rsidR="00B0643C" w:rsidRPr="00F61597">
                <w:rPr>
                  <w:rStyle w:val="Hyperlink"/>
                  <w:rFonts w:ascii="Arial" w:hAnsi="Arial" w:cs="Arial"/>
                  <w:sz w:val="18"/>
                  <w:szCs w:val="18"/>
                  <w:vertAlign w:val="superscript"/>
                </w:rPr>
                <w:t>®</w:t>
              </w:r>
              <w:r w:rsidR="00B0643C" w:rsidRPr="00F61597">
                <w:rPr>
                  <w:rStyle w:val="Hyperlink"/>
                  <w:rFonts w:ascii="Arial" w:hAnsi="Arial" w:cs="Arial"/>
                  <w:sz w:val="18"/>
                  <w:szCs w:val="18"/>
                </w:rPr>
                <w:t xml:space="preserve"> Hotels &amp; Resorts</w:t>
              </w:r>
            </w:hyperlink>
            <w:r w:rsidR="00B0643C" w:rsidRPr="00F61597">
              <w:rPr>
                <w:rFonts w:ascii="Arial" w:hAnsi="Arial" w:cs="Arial"/>
                <w:sz w:val="18"/>
                <w:szCs w:val="18"/>
              </w:rPr>
              <w:t xml:space="preserve">, </w:t>
            </w:r>
            <w:hyperlink r:id="rId16" w:history="1">
              <w:r w:rsidR="00B0643C" w:rsidRPr="00F61597">
                <w:rPr>
                  <w:rStyle w:val="Hyperlink"/>
                  <w:rFonts w:ascii="Arial" w:hAnsi="Arial" w:cs="Arial"/>
                  <w:sz w:val="18"/>
                  <w:szCs w:val="18"/>
                </w:rPr>
                <w:t>Holiday Inn</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hyperlink r:id="rId17" w:history="1">
              <w:r w:rsidR="00B0643C" w:rsidRPr="00F61597">
                <w:rPr>
                  <w:rStyle w:val="Hyperlink"/>
                  <w:rFonts w:ascii="Arial" w:hAnsi="Arial" w:cs="Arial"/>
                  <w:sz w:val="18"/>
                  <w:szCs w:val="18"/>
                </w:rPr>
                <w:t>Holiday Inn Express</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hyperlink r:id="rId18" w:history="1">
              <w:r w:rsidR="00B0643C" w:rsidRPr="00F61597">
                <w:rPr>
                  <w:rStyle w:val="Hyperlink"/>
                  <w:rFonts w:ascii="Arial" w:hAnsi="Arial" w:cs="Arial"/>
                  <w:sz w:val="18"/>
                  <w:szCs w:val="18"/>
                </w:rPr>
                <w:t>Holiday Inn Club Vacations</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hyperlink r:id="rId19" w:history="1">
              <w:r w:rsidR="00B0643C" w:rsidRPr="00F61597">
                <w:rPr>
                  <w:rStyle w:val="Hyperlink"/>
                  <w:rFonts w:ascii="Arial" w:hAnsi="Arial" w:cs="Arial"/>
                  <w:sz w:val="18"/>
                  <w:szCs w:val="18"/>
                </w:rPr>
                <w:t>Holiday Inn Resort</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hyperlink r:id="rId20" w:history="1">
              <w:r w:rsidR="00B0643C" w:rsidRPr="00F61597">
                <w:rPr>
                  <w:rStyle w:val="Hyperlink"/>
                  <w:rFonts w:ascii="Arial" w:hAnsi="Arial" w:cs="Arial"/>
                  <w:sz w:val="18"/>
                  <w:szCs w:val="18"/>
                </w:rPr>
                <w:t>avid™ hotels</w:t>
              </w:r>
            </w:hyperlink>
            <w:r w:rsidR="00B0643C" w:rsidRPr="00F61597">
              <w:rPr>
                <w:rFonts w:ascii="Arial" w:hAnsi="Arial" w:cs="Arial"/>
                <w:sz w:val="18"/>
                <w:szCs w:val="18"/>
              </w:rPr>
              <w:t xml:space="preserve">, </w:t>
            </w:r>
            <w:hyperlink r:id="rId21" w:history="1">
              <w:r w:rsidR="00B0643C" w:rsidRPr="00F61597">
                <w:rPr>
                  <w:rStyle w:val="Hyperlink"/>
                  <w:rFonts w:ascii="Arial" w:hAnsi="Arial" w:cs="Arial"/>
                  <w:sz w:val="18"/>
                  <w:szCs w:val="18"/>
                </w:rPr>
                <w:t>Staybridge Suites</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and </w:t>
            </w:r>
            <w:hyperlink r:id="rId22" w:history="1">
              <w:r w:rsidR="00B0643C" w:rsidRPr="00F61597">
                <w:rPr>
                  <w:rStyle w:val="Hyperlink"/>
                  <w:rFonts w:ascii="Arial" w:hAnsi="Arial" w:cs="Arial"/>
                  <w:sz w:val="18"/>
                  <w:szCs w:val="18"/>
                </w:rPr>
                <w:t>Candlewood Suites</w:t>
              </w:r>
              <w:r w:rsidR="00B0643C" w:rsidRPr="00F61597">
                <w:rPr>
                  <w:rStyle w:val="Hyperlink"/>
                  <w:rFonts w:ascii="Arial" w:hAnsi="Arial" w:cs="Arial"/>
                  <w:sz w:val="18"/>
                  <w:szCs w:val="18"/>
                  <w:vertAlign w:val="superscript"/>
                </w:rPr>
                <w:t>®</w:t>
              </w:r>
            </w:hyperlink>
            <w:r w:rsidR="00B0643C" w:rsidRPr="00F61597">
              <w:rPr>
                <w:rFonts w:ascii="Arial" w:hAnsi="Arial" w:cs="Arial"/>
                <w:sz w:val="18"/>
                <w:szCs w:val="18"/>
              </w:rPr>
              <w:t xml:space="preserve">. </w:t>
            </w:r>
          </w:p>
          <w:p w14:paraId="162012F0" w14:textId="77777777" w:rsidR="00B0643C" w:rsidRPr="00F61597" w:rsidRDefault="00B0643C" w:rsidP="00B0643C">
            <w:pPr>
              <w:jc w:val="both"/>
              <w:rPr>
                <w:rFonts w:ascii="Arial" w:hAnsi="Arial" w:cs="Arial"/>
                <w:sz w:val="18"/>
                <w:szCs w:val="18"/>
              </w:rPr>
            </w:pPr>
          </w:p>
          <w:p w14:paraId="6783405A" w14:textId="77777777" w:rsidR="00B0643C" w:rsidRPr="00F61597" w:rsidRDefault="00B0643C" w:rsidP="00B0643C">
            <w:pPr>
              <w:jc w:val="both"/>
              <w:rPr>
                <w:rFonts w:ascii="Arial" w:hAnsi="Arial" w:cs="Arial"/>
                <w:sz w:val="18"/>
                <w:szCs w:val="18"/>
              </w:rPr>
            </w:pPr>
            <w:r w:rsidRPr="00F61597">
              <w:rPr>
                <w:rFonts w:ascii="Arial" w:hAnsi="Arial" w:cs="Arial"/>
                <w:sz w:val="18"/>
                <w:szCs w:val="18"/>
              </w:rPr>
              <w:t xml:space="preserve">IHG franchises, leases, manages or owns nearly 5,400 hotels and 800,000 guest rooms in almost 100 countries, with more than 1,700 hotels in its development pipeline. IHG also manages </w:t>
            </w:r>
            <w:hyperlink r:id="rId23" w:history="1">
              <w:r w:rsidRPr="00F61597">
                <w:rPr>
                  <w:rStyle w:val="Hyperlink"/>
                  <w:rFonts w:ascii="Arial" w:hAnsi="Arial" w:cs="Arial"/>
                  <w:sz w:val="18"/>
                  <w:szCs w:val="18"/>
                </w:rPr>
                <w:t>IHG</w:t>
              </w:r>
              <w:r w:rsidRPr="00F61597">
                <w:rPr>
                  <w:rStyle w:val="Hyperlink"/>
                  <w:rFonts w:ascii="Arial" w:hAnsi="Arial" w:cs="Arial"/>
                  <w:sz w:val="18"/>
                  <w:szCs w:val="18"/>
                  <w:vertAlign w:val="superscript"/>
                </w:rPr>
                <w:t>®</w:t>
              </w:r>
              <w:r w:rsidRPr="00F61597">
                <w:rPr>
                  <w:rStyle w:val="Hyperlink"/>
                  <w:rFonts w:ascii="Arial" w:hAnsi="Arial" w:cs="Arial"/>
                  <w:sz w:val="18"/>
                  <w:szCs w:val="18"/>
                </w:rPr>
                <w:t xml:space="preserve"> Rewards Club</w:t>
              </w:r>
            </w:hyperlink>
            <w:r w:rsidRPr="00F61597">
              <w:rPr>
                <w:rFonts w:ascii="Arial" w:hAnsi="Arial" w:cs="Arial"/>
                <w:sz w:val="18"/>
                <w:szCs w:val="18"/>
              </w:rPr>
              <w:t xml:space="preserve">, our global loyalty programme, which has more than 100 million enrolled members.   </w:t>
            </w:r>
          </w:p>
          <w:p w14:paraId="31489B42" w14:textId="77777777" w:rsidR="00B0643C" w:rsidRPr="00F61597" w:rsidRDefault="00B0643C" w:rsidP="00B0643C">
            <w:pPr>
              <w:jc w:val="both"/>
              <w:rPr>
                <w:rFonts w:ascii="Arial" w:hAnsi="Arial" w:cs="Arial"/>
                <w:sz w:val="18"/>
                <w:szCs w:val="18"/>
              </w:rPr>
            </w:pPr>
          </w:p>
          <w:p w14:paraId="4978EF4B" w14:textId="77777777" w:rsidR="00B0643C" w:rsidRPr="00F61597" w:rsidRDefault="005664AE" w:rsidP="00B0643C">
            <w:pPr>
              <w:jc w:val="both"/>
              <w:rPr>
                <w:rFonts w:ascii="Arial" w:hAnsi="Arial" w:cs="Arial"/>
                <w:sz w:val="18"/>
                <w:szCs w:val="18"/>
              </w:rPr>
            </w:pPr>
            <w:hyperlink r:id="rId24" w:history="1">
              <w:r w:rsidR="00B0643C" w:rsidRPr="00F61597">
                <w:rPr>
                  <w:rStyle w:val="Hyperlink"/>
                  <w:rFonts w:ascii="Arial" w:hAnsi="Arial" w:cs="Arial"/>
                  <w:sz w:val="18"/>
                  <w:szCs w:val="18"/>
                </w:rPr>
                <w:t>InterContinental Hotels Group PLC</w:t>
              </w:r>
            </w:hyperlink>
            <w:r w:rsidR="00B0643C" w:rsidRPr="00F61597">
              <w:rPr>
                <w:rFonts w:ascii="Arial" w:hAnsi="Arial" w:cs="Arial"/>
                <w:sz w:val="18"/>
                <w:szCs w:val="18"/>
              </w:rPr>
              <w:t xml:space="preserve"> is the Group’s holding company and is incorporated in Great Britain and registered in England and Wales. More than 375,000 people work across IHG’s hotels and corporate offices globally.</w:t>
            </w:r>
          </w:p>
          <w:p w14:paraId="3F80F28D" w14:textId="77777777" w:rsidR="00B0643C" w:rsidRPr="00F61597" w:rsidRDefault="00B0643C" w:rsidP="00B0643C">
            <w:pPr>
              <w:jc w:val="both"/>
              <w:rPr>
                <w:rFonts w:ascii="Arial" w:hAnsi="Arial" w:cs="Arial"/>
                <w:sz w:val="18"/>
                <w:szCs w:val="18"/>
              </w:rPr>
            </w:pPr>
          </w:p>
          <w:p w14:paraId="50E5F10D" w14:textId="77777777" w:rsidR="00B0643C" w:rsidRPr="00F61597" w:rsidRDefault="00B0643C" w:rsidP="00B0643C">
            <w:pPr>
              <w:jc w:val="both"/>
              <w:rPr>
                <w:rFonts w:ascii="Arial" w:hAnsi="Arial" w:cs="Arial"/>
                <w:sz w:val="18"/>
                <w:szCs w:val="18"/>
              </w:rPr>
            </w:pPr>
            <w:r w:rsidRPr="00F61597">
              <w:rPr>
                <w:rFonts w:ascii="Arial" w:hAnsi="Arial" w:cs="Arial"/>
                <w:sz w:val="18"/>
                <w:szCs w:val="18"/>
              </w:rPr>
              <w:t xml:space="preserve">Visit </w:t>
            </w:r>
            <w:hyperlink r:id="rId25" w:history="1">
              <w:r w:rsidRPr="00F61597">
                <w:rPr>
                  <w:rStyle w:val="Hyperlink"/>
                  <w:rFonts w:ascii="Arial" w:hAnsi="Arial" w:cs="Arial"/>
                  <w:sz w:val="18"/>
                  <w:szCs w:val="18"/>
                </w:rPr>
                <w:t>www.ihg.com</w:t>
              </w:r>
            </w:hyperlink>
            <w:r w:rsidRPr="00F61597">
              <w:rPr>
                <w:rFonts w:ascii="Arial" w:hAnsi="Arial" w:cs="Arial"/>
                <w:sz w:val="18"/>
                <w:szCs w:val="18"/>
              </w:rPr>
              <w:t xml:space="preserve"> for hotel information and reservations and </w:t>
            </w:r>
            <w:hyperlink r:id="rId26" w:history="1">
              <w:r w:rsidRPr="00F61597">
                <w:rPr>
                  <w:rStyle w:val="Hyperlink"/>
                  <w:rFonts w:ascii="Arial" w:hAnsi="Arial" w:cs="Arial"/>
                  <w:sz w:val="18"/>
                  <w:szCs w:val="18"/>
                </w:rPr>
                <w:t>www.ihgrewardsclub.com</w:t>
              </w:r>
            </w:hyperlink>
            <w:r w:rsidRPr="00F61597">
              <w:rPr>
                <w:rFonts w:ascii="Arial" w:hAnsi="Arial" w:cs="Arial"/>
                <w:sz w:val="18"/>
                <w:szCs w:val="18"/>
              </w:rPr>
              <w:t xml:space="preserve"> for more on IHG Rewards Club. For our latest news, visit: </w:t>
            </w:r>
            <w:hyperlink r:id="rId27" w:history="1">
              <w:r w:rsidRPr="00F61597">
                <w:rPr>
                  <w:rStyle w:val="Hyperlink"/>
                  <w:rFonts w:ascii="Arial" w:hAnsi="Arial" w:cs="Arial"/>
                  <w:sz w:val="18"/>
                  <w:szCs w:val="18"/>
                </w:rPr>
                <w:t>www.ihgplc.com/media</w:t>
              </w:r>
            </w:hyperlink>
            <w:r w:rsidRPr="00F61597">
              <w:rPr>
                <w:rFonts w:ascii="Arial" w:hAnsi="Arial" w:cs="Arial"/>
                <w:sz w:val="18"/>
                <w:szCs w:val="18"/>
              </w:rPr>
              <w:t xml:space="preserve"> and follow us on social media at: </w:t>
            </w:r>
            <w:hyperlink r:id="rId28" w:history="1">
              <w:r w:rsidRPr="00F61597">
                <w:rPr>
                  <w:rStyle w:val="Hyperlink"/>
                  <w:rFonts w:ascii="Arial" w:hAnsi="Arial" w:cs="Arial"/>
                  <w:sz w:val="18"/>
                  <w:szCs w:val="18"/>
                </w:rPr>
                <w:t>www.twitter.com/ihg</w:t>
              </w:r>
            </w:hyperlink>
            <w:r w:rsidRPr="00F61597">
              <w:rPr>
                <w:rFonts w:ascii="Arial" w:hAnsi="Arial" w:cs="Arial"/>
                <w:sz w:val="18"/>
                <w:szCs w:val="18"/>
              </w:rPr>
              <w:t xml:space="preserve">, </w:t>
            </w:r>
            <w:hyperlink r:id="rId29" w:history="1">
              <w:r w:rsidRPr="00F61597">
                <w:rPr>
                  <w:rStyle w:val="Hyperlink"/>
                  <w:rFonts w:ascii="Arial" w:hAnsi="Arial" w:cs="Arial"/>
                  <w:sz w:val="18"/>
                  <w:szCs w:val="18"/>
                </w:rPr>
                <w:t>www.facebook.com/ihg</w:t>
              </w:r>
            </w:hyperlink>
            <w:r w:rsidRPr="00F61597">
              <w:rPr>
                <w:rFonts w:ascii="Arial" w:hAnsi="Arial" w:cs="Arial"/>
                <w:sz w:val="18"/>
                <w:szCs w:val="18"/>
              </w:rPr>
              <w:t xml:space="preserve"> and </w:t>
            </w:r>
            <w:hyperlink r:id="rId30" w:history="1">
              <w:r w:rsidRPr="00F61597">
                <w:rPr>
                  <w:rStyle w:val="Hyperlink"/>
                  <w:rFonts w:ascii="Arial" w:hAnsi="Arial" w:cs="Arial"/>
                  <w:sz w:val="18"/>
                  <w:szCs w:val="18"/>
                </w:rPr>
                <w:t>www.youtube.com/ihgplc</w:t>
              </w:r>
            </w:hyperlink>
            <w:r w:rsidRPr="00F61597">
              <w:rPr>
                <w:rFonts w:ascii="Arial" w:hAnsi="Arial" w:cs="Arial"/>
                <w:sz w:val="18"/>
                <w:szCs w:val="18"/>
              </w:rPr>
              <w:t xml:space="preserve">. </w:t>
            </w:r>
          </w:p>
          <w:p w14:paraId="205D53CB" w14:textId="77777777" w:rsidR="00B0643C" w:rsidRPr="00F61597" w:rsidRDefault="00B0643C" w:rsidP="00B0643C">
            <w:pPr>
              <w:jc w:val="both"/>
              <w:rPr>
                <w:rFonts w:ascii="Arial" w:hAnsi="Arial" w:cs="Arial"/>
                <w:b/>
                <w:sz w:val="18"/>
                <w:szCs w:val="18"/>
              </w:rPr>
            </w:pPr>
          </w:p>
          <w:p w14:paraId="0E1871D8" w14:textId="77777777" w:rsidR="003952AA" w:rsidRPr="00B0643C" w:rsidRDefault="003952AA" w:rsidP="000677BD">
            <w:pPr>
              <w:jc w:val="both"/>
              <w:rPr>
                <w:rFonts w:ascii="Arial" w:hAnsi="Arial" w:cs="Arial"/>
                <w:sz w:val="18"/>
                <w:szCs w:val="18"/>
              </w:rPr>
            </w:pPr>
          </w:p>
        </w:tc>
      </w:tr>
      <w:tr w:rsidR="003952AA" w:rsidRPr="003952AA" w14:paraId="5BF61080" w14:textId="77777777" w:rsidTr="003952AA">
        <w:tblPrEx>
          <w:tblBorders>
            <w:top w:val="none" w:sz="0" w:space="0" w:color="auto"/>
            <w:left w:val="none" w:sz="0" w:space="0" w:color="auto"/>
            <w:bottom w:val="none" w:sz="0" w:space="0" w:color="auto"/>
            <w:right w:val="none" w:sz="0" w:space="0" w:color="auto"/>
          </w:tblBorders>
        </w:tblPrEx>
        <w:trPr>
          <w:trHeight w:val="2692"/>
        </w:trPr>
        <w:tc>
          <w:tcPr>
            <w:tcW w:w="10420" w:type="dxa"/>
            <w:gridSpan w:val="4"/>
          </w:tcPr>
          <w:p w14:paraId="1909E0B0" w14:textId="77777777" w:rsidR="003952AA" w:rsidRPr="00B0643C" w:rsidRDefault="003952AA" w:rsidP="000677BD">
            <w:pPr>
              <w:spacing w:before="60" w:after="60"/>
              <w:rPr>
                <w:rFonts w:ascii="Arial" w:hAnsi="Arial" w:cs="Arial"/>
                <w:b/>
                <w:sz w:val="18"/>
                <w:szCs w:val="18"/>
              </w:rPr>
            </w:pPr>
            <w:r w:rsidRPr="00B0643C">
              <w:rPr>
                <w:rFonts w:ascii="Arial" w:hAnsi="Arial" w:cs="Arial"/>
                <w:b/>
                <w:sz w:val="18"/>
                <w:szCs w:val="18"/>
              </w:rPr>
              <w:t>Cautionary note regarding forward-looking statements:</w:t>
            </w:r>
          </w:p>
          <w:p w14:paraId="2AFD8C24" w14:textId="77777777" w:rsidR="003952AA" w:rsidRPr="00B0643C" w:rsidRDefault="003952AA" w:rsidP="000677BD">
            <w:pPr>
              <w:spacing w:before="60" w:after="60"/>
              <w:jc w:val="both"/>
              <w:rPr>
                <w:rFonts w:ascii="Arial" w:hAnsi="Arial" w:cs="Arial"/>
                <w:sz w:val="18"/>
                <w:szCs w:val="18"/>
              </w:rPr>
            </w:pPr>
            <w:r w:rsidRPr="00B0643C">
              <w:rPr>
                <w:rFonts w:ascii="Arial" w:hAnsi="Arial" w:cs="Arial"/>
                <w:sz w:val="18"/>
                <w:szCs w:val="18"/>
              </w:rPr>
              <w:t xml:space="preserve">This announcement contains certain forward-looking statements as defined under United States law (Section 21E of the Securities Exchange Act of 1934) and otherwise.  These forward-looking statements can be identified by the fact that they do not relate only to historical or current facts.  Forward-looking statements often use words such as ‘anticipate’, ‘target’, ‘expect’, ‘estimate’, ‘intend’, ‘plan’, ‘goal’, ‘believe’ or other words of similar meaning.  These statements are based on assumptions and assessments made by InterContinental Hotels Group PLC’s management </w:t>
            </w:r>
            <w:proofErr w:type="gramStart"/>
            <w:r w:rsidRPr="00B0643C">
              <w:rPr>
                <w:rFonts w:ascii="Arial" w:hAnsi="Arial" w:cs="Arial"/>
                <w:sz w:val="18"/>
                <w:szCs w:val="18"/>
              </w:rPr>
              <w:t>in light of</w:t>
            </w:r>
            <w:proofErr w:type="gramEnd"/>
            <w:r w:rsidRPr="00B0643C">
              <w:rPr>
                <w:rFonts w:ascii="Arial" w:hAnsi="Arial" w:cs="Arial"/>
                <w:sz w:val="18"/>
                <w:szCs w:val="18"/>
              </w:rPr>
              <w:t xml:space="preserve"> their experience and their perception of historical trends, current conditions, expected future developments and other factors they believe to be appropriate.  By their nature, forward-looking statements are inherently predictive, speculative and involve risk and uncertainty.  There are </w:t>
            </w:r>
            <w:proofErr w:type="gramStart"/>
            <w:r w:rsidRPr="00B0643C">
              <w:rPr>
                <w:rFonts w:ascii="Arial" w:hAnsi="Arial" w:cs="Arial"/>
                <w:sz w:val="18"/>
                <w:szCs w:val="18"/>
              </w:rPr>
              <w:t>a number of</w:t>
            </w:r>
            <w:proofErr w:type="gramEnd"/>
            <w:r w:rsidRPr="00B0643C">
              <w:rPr>
                <w:rFonts w:ascii="Arial" w:hAnsi="Arial" w:cs="Arial"/>
                <w:sz w:val="18"/>
                <w:szCs w:val="18"/>
              </w:rPr>
              <w:t xml:space="preserve"> factors that could cause actual results and developments to differ materially from those expressed in or implied by, such forward-looking statements.  The main factors that could affect the business and the financial results are described in the ‘Risk Factors’ section in the current InterContinental Hotels Group PLC’s Annual report and Form 20-F filed with the United States Securities and Exchange Commission.</w:t>
            </w:r>
          </w:p>
        </w:tc>
      </w:tr>
    </w:tbl>
    <w:p w14:paraId="59F9A1B2" w14:textId="77777777" w:rsidR="00D22B4B" w:rsidRPr="009D430E" w:rsidRDefault="00D22B4B" w:rsidP="005D743C">
      <w:pPr>
        <w:spacing w:before="60" w:after="60"/>
        <w:outlineLvl w:val="0"/>
        <w:rPr>
          <w:rFonts w:ascii="Arial" w:hAnsi="Arial" w:cs="Arial"/>
        </w:rPr>
      </w:pPr>
    </w:p>
    <w:sectPr w:rsidR="00D22B4B" w:rsidRPr="009D430E" w:rsidSect="00AF1EE8">
      <w:footerReference w:type="even" r:id="rId31"/>
      <w:footerReference w:type="default" r:id="rId32"/>
      <w:footnotePr>
        <w:numRestart w:val="eachPage"/>
      </w:footnotePr>
      <w:pgSz w:w="11906" w:h="16838" w:code="9"/>
      <w:pgMar w:top="567" w:right="720" w:bottom="709" w:left="56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D583" w14:textId="77777777" w:rsidR="00EE44DF" w:rsidRDefault="00EE44DF">
      <w:r>
        <w:separator/>
      </w:r>
    </w:p>
  </w:endnote>
  <w:endnote w:type="continuationSeparator" w:id="0">
    <w:p w14:paraId="4FF55A0F" w14:textId="77777777" w:rsidR="00EE44DF" w:rsidRDefault="00EE44DF">
      <w:r>
        <w:continuationSeparator/>
      </w:r>
    </w:p>
  </w:endnote>
  <w:endnote w:type="continuationNotice" w:id="1">
    <w:p w14:paraId="40C9ABC0" w14:textId="77777777" w:rsidR="00EE44DF" w:rsidRDefault="00EE4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C5CF" w14:textId="77777777" w:rsidR="00844891" w:rsidRDefault="00844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4914" w14:textId="77777777" w:rsidR="00844891" w:rsidRDefault="00844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CF94" w14:textId="3A56D50B" w:rsidR="00844891" w:rsidRDefault="00844891" w:rsidP="00A56504">
    <w:pPr>
      <w:pStyle w:val="Footer"/>
      <w:jc w:val="center"/>
      <w:rPr>
        <w:rStyle w:val="PageNumber"/>
        <w:rFonts w:ascii="Arial" w:hAnsi="Arial" w:cs="Arial"/>
        <w:sz w:val="16"/>
        <w:szCs w:val="16"/>
      </w:rPr>
    </w:pPr>
    <w:r w:rsidRPr="008B1930">
      <w:rPr>
        <w:rFonts w:ascii="Arial" w:hAnsi="Arial" w:cs="Arial"/>
        <w:sz w:val="16"/>
        <w:szCs w:val="16"/>
      </w:rPr>
      <w:t xml:space="preserve">Page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PAGE </w:instrText>
    </w:r>
    <w:r w:rsidRPr="008B1930">
      <w:rPr>
        <w:rStyle w:val="PageNumber"/>
        <w:rFonts w:ascii="Arial" w:hAnsi="Arial" w:cs="Arial"/>
        <w:sz w:val="16"/>
        <w:szCs w:val="16"/>
      </w:rPr>
      <w:fldChar w:fldCharType="separate"/>
    </w:r>
    <w:r w:rsidR="005664AE">
      <w:rPr>
        <w:rStyle w:val="PageNumber"/>
        <w:rFonts w:ascii="Arial" w:hAnsi="Arial" w:cs="Arial"/>
        <w:noProof/>
        <w:sz w:val="16"/>
        <w:szCs w:val="16"/>
      </w:rPr>
      <w:t>2</w:t>
    </w:r>
    <w:r w:rsidRPr="008B1930">
      <w:rPr>
        <w:rStyle w:val="PageNumber"/>
        <w:rFonts w:ascii="Arial" w:hAnsi="Arial" w:cs="Arial"/>
        <w:sz w:val="16"/>
        <w:szCs w:val="16"/>
      </w:rPr>
      <w:fldChar w:fldCharType="end"/>
    </w:r>
    <w:r w:rsidRPr="008B1930">
      <w:rPr>
        <w:rStyle w:val="PageNumber"/>
        <w:rFonts w:ascii="Arial" w:hAnsi="Arial" w:cs="Arial"/>
        <w:sz w:val="16"/>
        <w:szCs w:val="16"/>
      </w:rPr>
      <w:t xml:space="preserve"> of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NUMPAGES </w:instrText>
    </w:r>
    <w:r w:rsidRPr="008B1930">
      <w:rPr>
        <w:rStyle w:val="PageNumber"/>
        <w:rFonts w:ascii="Arial" w:hAnsi="Arial" w:cs="Arial"/>
        <w:sz w:val="16"/>
        <w:szCs w:val="16"/>
      </w:rPr>
      <w:fldChar w:fldCharType="separate"/>
    </w:r>
    <w:r w:rsidR="005664AE">
      <w:rPr>
        <w:rStyle w:val="PageNumber"/>
        <w:rFonts w:ascii="Arial" w:hAnsi="Arial" w:cs="Arial"/>
        <w:noProof/>
        <w:sz w:val="16"/>
        <w:szCs w:val="16"/>
      </w:rPr>
      <w:t>4</w:t>
    </w:r>
    <w:r w:rsidRPr="008B1930">
      <w:rPr>
        <w:rStyle w:val="PageNumber"/>
        <w:rFonts w:ascii="Arial" w:hAnsi="Arial" w:cs="Arial"/>
        <w:sz w:val="16"/>
        <w:szCs w:val="16"/>
      </w:rPr>
      <w:fldChar w:fldCharType="end"/>
    </w:r>
  </w:p>
  <w:p w14:paraId="052E5270" w14:textId="77777777" w:rsidR="00844891" w:rsidRDefault="008448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60D9" w14:textId="77777777" w:rsidR="00EE44DF" w:rsidRDefault="00EE44DF">
      <w:r>
        <w:separator/>
      </w:r>
    </w:p>
  </w:footnote>
  <w:footnote w:type="continuationSeparator" w:id="0">
    <w:p w14:paraId="4F950C91" w14:textId="77777777" w:rsidR="00EE44DF" w:rsidRDefault="00EE44DF">
      <w:r>
        <w:continuationSeparator/>
      </w:r>
    </w:p>
  </w:footnote>
  <w:footnote w:type="continuationNotice" w:id="1">
    <w:p w14:paraId="14B8708A" w14:textId="77777777" w:rsidR="00EE44DF" w:rsidRDefault="00EE44DF"/>
  </w:footnote>
  <w:footnote w:id="2">
    <w:p w14:paraId="78CAF00C" w14:textId="77777777" w:rsidR="00844891" w:rsidRPr="00495FB5" w:rsidRDefault="00844891" w:rsidP="00A830AC">
      <w:pPr>
        <w:pStyle w:val="FootnoteText"/>
        <w:tabs>
          <w:tab w:val="left" w:pos="6555"/>
        </w:tabs>
        <w:rPr>
          <w:rFonts w:ascii="Arial" w:hAnsi="Arial" w:cs="Arial"/>
          <w:sz w:val="16"/>
          <w:szCs w:val="16"/>
        </w:rPr>
      </w:pPr>
      <w:r w:rsidRPr="00495FB5">
        <w:rPr>
          <w:rStyle w:val="FootnoteReference"/>
          <w:rFonts w:ascii="Arial" w:hAnsi="Arial" w:cs="Arial"/>
          <w:sz w:val="16"/>
          <w:szCs w:val="16"/>
        </w:rPr>
        <w:footnoteRef/>
      </w:r>
      <w:r w:rsidRPr="00495FB5">
        <w:rPr>
          <w:rFonts w:ascii="Arial" w:hAnsi="Arial" w:cs="Arial"/>
          <w:sz w:val="16"/>
          <w:szCs w:val="16"/>
        </w:rPr>
        <w:t xml:space="preserve"> RevPAR growth is at constant exchange rates (CER) unless otherwise stated.</w:t>
      </w:r>
      <w:r>
        <w:rPr>
          <w:rFonts w:ascii="Arial" w:hAnsi="Arial" w:cs="Arial"/>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24D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19F2"/>
    <w:multiLevelType w:val="hybridMultilevel"/>
    <w:tmpl w:val="1C34579E"/>
    <w:lvl w:ilvl="0" w:tplc="20CA6FCA">
      <w:start w:val="1"/>
      <w:numFmt w:val="bullet"/>
      <w:lvlText w:val="o"/>
      <w:lvlJc w:val="left"/>
      <w:pPr>
        <w:ind w:left="720" w:hanging="360"/>
      </w:pPr>
      <w:rPr>
        <w:rFonts w:ascii="Courier New" w:hAnsi="Courier New" w:hint="default"/>
        <w:color w:val="auto"/>
        <w:sz w:val="1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103AB"/>
    <w:multiLevelType w:val="hybridMultilevel"/>
    <w:tmpl w:val="0C4C3420"/>
    <w:lvl w:ilvl="0" w:tplc="CB8A0978">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6362"/>
    <w:multiLevelType w:val="hybridMultilevel"/>
    <w:tmpl w:val="FF04DDF4"/>
    <w:lvl w:ilvl="0" w:tplc="888017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27226E"/>
    <w:multiLevelType w:val="multilevel"/>
    <w:tmpl w:val="FC8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F088D"/>
    <w:multiLevelType w:val="hybridMultilevel"/>
    <w:tmpl w:val="86948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916D8E"/>
    <w:multiLevelType w:val="hybridMultilevel"/>
    <w:tmpl w:val="E00EF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31726F"/>
    <w:multiLevelType w:val="hybridMultilevel"/>
    <w:tmpl w:val="DFFE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A0D06"/>
    <w:multiLevelType w:val="hybridMultilevel"/>
    <w:tmpl w:val="8906174C"/>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84C21"/>
    <w:multiLevelType w:val="hybridMultilevel"/>
    <w:tmpl w:val="F09AD06E"/>
    <w:lvl w:ilvl="0" w:tplc="303AAE22">
      <w:start w:val="17"/>
      <w:numFmt w:val="bullet"/>
      <w:lvlText w:val="-"/>
      <w:lvlJc w:val="left"/>
      <w:pPr>
        <w:ind w:left="1134" w:hanging="360"/>
      </w:pPr>
      <w:rPr>
        <w:rFonts w:ascii="Arial" w:eastAsia="Times New Roman" w:hAnsi="Arial" w:cs="Aria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0" w15:restartNumberingAfterBreak="0">
    <w:nsid w:val="1699149E"/>
    <w:multiLevelType w:val="hybridMultilevel"/>
    <w:tmpl w:val="6598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D2C23"/>
    <w:multiLevelType w:val="hybridMultilevel"/>
    <w:tmpl w:val="E5E2C2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4476DF1"/>
    <w:multiLevelType w:val="hybridMultilevel"/>
    <w:tmpl w:val="098A390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8530C0"/>
    <w:multiLevelType w:val="hybridMultilevel"/>
    <w:tmpl w:val="CC4C29D4"/>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CA5FB8"/>
    <w:multiLevelType w:val="hybridMultilevel"/>
    <w:tmpl w:val="C602C53E"/>
    <w:lvl w:ilvl="0" w:tplc="EE802FE2">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E0CE7"/>
    <w:multiLevelType w:val="hybridMultilevel"/>
    <w:tmpl w:val="702CD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1C0E45"/>
    <w:multiLevelType w:val="hybridMultilevel"/>
    <w:tmpl w:val="3A4E4F66"/>
    <w:lvl w:ilvl="0" w:tplc="08090019">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EE1B13"/>
    <w:multiLevelType w:val="hybridMultilevel"/>
    <w:tmpl w:val="D30C227E"/>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D42CB"/>
    <w:multiLevelType w:val="hybridMultilevel"/>
    <w:tmpl w:val="43DA945E"/>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85C65"/>
    <w:multiLevelType w:val="hybridMultilevel"/>
    <w:tmpl w:val="9248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173CAC"/>
    <w:multiLevelType w:val="multilevel"/>
    <w:tmpl w:val="A9C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B3056"/>
    <w:multiLevelType w:val="hybridMultilevel"/>
    <w:tmpl w:val="42308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C95AD0"/>
    <w:multiLevelType w:val="hybridMultilevel"/>
    <w:tmpl w:val="2A44C1A0"/>
    <w:lvl w:ilvl="0" w:tplc="47A865F6">
      <w:start w:val="6"/>
      <w:numFmt w:val="bullet"/>
      <w:lvlText w:val="-"/>
      <w:lvlJc w:val="left"/>
      <w:pPr>
        <w:ind w:left="754" w:hanging="360"/>
      </w:pPr>
      <w:rPr>
        <w:rFonts w:ascii="Arial" w:eastAsia="Times New Roman" w:hAnsi="Aria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3" w15:restartNumberingAfterBreak="0">
    <w:nsid w:val="61B23051"/>
    <w:multiLevelType w:val="hybridMultilevel"/>
    <w:tmpl w:val="8D32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E6545"/>
    <w:multiLevelType w:val="hybridMultilevel"/>
    <w:tmpl w:val="2480B8A4"/>
    <w:lvl w:ilvl="0" w:tplc="2328FC3E">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9748DB"/>
    <w:multiLevelType w:val="hybridMultilevel"/>
    <w:tmpl w:val="72CC84AE"/>
    <w:lvl w:ilvl="0" w:tplc="89CCC5A4">
      <w:start w:val="5"/>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ED76AD7"/>
    <w:multiLevelType w:val="hybridMultilevel"/>
    <w:tmpl w:val="F662AEA8"/>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4704B"/>
    <w:multiLevelType w:val="hybridMultilevel"/>
    <w:tmpl w:val="FE5EE676"/>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D14C5"/>
    <w:multiLevelType w:val="hybridMultilevel"/>
    <w:tmpl w:val="5EF684A0"/>
    <w:lvl w:ilvl="0" w:tplc="1D98ADEA">
      <w:numFmt w:val="bullet"/>
      <w:lvlText w:val="•"/>
      <w:lvlJc w:val="left"/>
      <w:pPr>
        <w:ind w:left="720" w:hanging="360"/>
      </w:pPr>
      <w:rPr>
        <w:rFonts w:ascii="Arial" w:eastAsia="Times New Roman" w:hAnsi="Aria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210693"/>
    <w:multiLevelType w:val="hybridMultilevel"/>
    <w:tmpl w:val="B20054AC"/>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C3135"/>
    <w:multiLevelType w:val="hybridMultilevel"/>
    <w:tmpl w:val="250CC882"/>
    <w:lvl w:ilvl="0" w:tplc="DB9EEEEA">
      <w:start w:val="1"/>
      <w:numFmt w:val="lowerLetter"/>
      <w:lvlText w:val="%1."/>
      <w:lvlJc w:val="left"/>
      <w:pPr>
        <w:ind w:left="360" w:hanging="360"/>
      </w:pPr>
      <w:rPr>
        <w:rFonts w:cs="Times New Roman" w:hint="default"/>
        <w:color w:val="00000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7ADD3A58"/>
    <w:multiLevelType w:val="hybridMultilevel"/>
    <w:tmpl w:val="FFC261DC"/>
    <w:lvl w:ilvl="0" w:tplc="A61ADEE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7"/>
  </w:num>
  <w:num w:numId="3">
    <w:abstractNumId w:val="22"/>
  </w:num>
  <w:num w:numId="4">
    <w:abstractNumId w:val="0"/>
  </w:num>
  <w:num w:numId="5">
    <w:abstractNumId w:val="29"/>
  </w:num>
  <w:num w:numId="6">
    <w:abstractNumId w:val="18"/>
  </w:num>
  <w:num w:numId="7">
    <w:abstractNumId w:val="7"/>
  </w:num>
  <w:num w:numId="8">
    <w:abstractNumId w:val="28"/>
  </w:num>
  <w:num w:numId="9">
    <w:abstractNumId w:val="15"/>
  </w:num>
  <w:num w:numId="10">
    <w:abstractNumId w:val="11"/>
  </w:num>
  <w:num w:numId="11">
    <w:abstractNumId w:val="30"/>
  </w:num>
  <w:num w:numId="12">
    <w:abstractNumId w:val="19"/>
  </w:num>
  <w:num w:numId="13">
    <w:abstractNumId w:val="6"/>
  </w:num>
  <w:num w:numId="14">
    <w:abstractNumId w:val="1"/>
  </w:num>
  <w:num w:numId="15">
    <w:abstractNumId w:val="16"/>
  </w:num>
  <w:num w:numId="16">
    <w:abstractNumId w:val="25"/>
  </w:num>
  <w:num w:numId="17">
    <w:abstractNumId w:val="5"/>
  </w:num>
  <w:num w:numId="18">
    <w:abstractNumId w:val="4"/>
  </w:num>
  <w:num w:numId="19">
    <w:abstractNumId w:val="20"/>
  </w:num>
  <w:num w:numId="20">
    <w:abstractNumId w:val="10"/>
  </w:num>
  <w:num w:numId="21">
    <w:abstractNumId w:val="26"/>
  </w:num>
  <w:num w:numId="22">
    <w:abstractNumId w:val="17"/>
  </w:num>
  <w:num w:numId="23">
    <w:abstractNumId w:val="13"/>
  </w:num>
  <w:num w:numId="24">
    <w:abstractNumId w:val="24"/>
  </w:num>
  <w:num w:numId="25">
    <w:abstractNumId w:val="23"/>
  </w:num>
  <w:num w:numId="26">
    <w:abstractNumId w:val="31"/>
  </w:num>
  <w:num w:numId="27">
    <w:abstractNumId w:val="8"/>
  </w:num>
  <w:num w:numId="28">
    <w:abstractNumId w:val="14"/>
  </w:num>
  <w:num w:numId="29">
    <w:abstractNumId w:val="2"/>
  </w:num>
  <w:num w:numId="30">
    <w:abstractNumId w:val="3"/>
  </w:num>
  <w:num w:numId="31">
    <w:abstractNumId w:val="9"/>
  </w:num>
  <w:num w:numId="3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7817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22"/>
    <w:rsid w:val="00000BFC"/>
    <w:rsid w:val="00001244"/>
    <w:rsid w:val="00002A69"/>
    <w:rsid w:val="00002F98"/>
    <w:rsid w:val="00003110"/>
    <w:rsid w:val="00004335"/>
    <w:rsid w:val="00004EAA"/>
    <w:rsid w:val="000066B3"/>
    <w:rsid w:val="00006DEF"/>
    <w:rsid w:val="0000772F"/>
    <w:rsid w:val="000100E4"/>
    <w:rsid w:val="00010F44"/>
    <w:rsid w:val="0001109C"/>
    <w:rsid w:val="00012207"/>
    <w:rsid w:val="000128D3"/>
    <w:rsid w:val="0001360E"/>
    <w:rsid w:val="00015A47"/>
    <w:rsid w:val="00016061"/>
    <w:rsid w:val="00016E8C"/>
    <w:rsid w:val="0001723D"/>
    <w:rsid w:val="0002015A"/>
    <w:rsid w:val="0002177F"/>
    <w:rsid w:val="000220E6"/>
    <w:rsid w:val="000225CF"/>
    <w:rsid w:val="00022722"/>
    <w:rsid w:val="00024570"/>
    <w:rsid w:val="000262AC"/>
    <w:rsid w:val="00026DB7"/>
    <w:rsid w:val="0002729F"/>
    <w:rsid w:val="00027818"/>
    <w:rsid w:val="00030786"/>
    <w:rsid w:val="00031016"/>
    <w:rsid w:val="00031022"/>
    <w:rsid w:val="000312CC"/>
    <w:rsid w:val="0003189A"/>
    <w:rsid w:val="0003236C"/>
    <w:rsid w:val="00032C2C"/>
    <w:rsid w:val="00034581"/>
    <w:rsid w:val="00035307"/>
    <w:rsid w:val="00037219"/>
    <w:rsid w:val="00037520"/>
    <w:rsid w:val="0004017E"/>
    <w:rsid w:val="00040432"/>
    <w:rsid w:val="00040894"/>
    <w:rsid w:val="000422D4"/>
    <w:rsid w:val="00042498"/>
    <w:rsid w:val="00042A32"/>
    <w:rsid w:val="00042BD5"/>
    <w:rsid w:val="000441CF"/>
    <w:rsid w:val="00044B78"/>
    <w:rsid w:val="00047EBF"/>
    <w:rsid w:val="00050235"/>
    <w:rsid w:val="00050727"/>
    <w:rsid w:val="00051371"/>
    <w:rsid w:val="00051520"/>
    <w:rsid w:val="00053443"/>
    <w:rsid w:val="00053821"/>
    <w:rsid w:val="00053DAE"/>
    <w:rsid w:val="0005448B"/>
    <w:rsid w:val="00055A59"/>
    <w:rsid w:val="000565AE"/>
    <w:rsid w:val="000574C6"/>
    <w:rsid w:val="000601F3"/>
    <w:rsid w:val="000603B8"/>
    <w:rsid w:val="00060974"/>
    <w:rsid w:val="00062966"/>
    <w:rsid w:val="00062CCB"/>
    <w:rsid w:val="00063672"/>
    <w:rsid w:val="00063A99"/>
    <w:rsid w:val="0006496E"/>
    <w:rsid w:val="000650F2"/>
    <w:rsid w:val="0006542B"/>
    <w:rsid w:val="00065923"/>
    <w:rsid w:val="00067481"/>
    <w:rsid w:val="000678F0"/>
    <w:rsid w:val="000705DB"/>
    <w:rsid w:val="00070C93"/>
    <w:rsid w:val="00070D57"/>
    <w:rsid w:val="00071F3B"/>
    <w:rsid w:val="000720D5"/>
    <w:rsid w:val="000756B1"/>
    <w:rsid w:val="000772A8"/>
    <w:rsid w:val="000772C1"/>
    <w:rsid w:val="00077A55"/>
    <w:rsid w:val="0008123D"/>
    <w:rsid w:val="00081B48"/>
    <w:rsid w:val="0008291D"/>
    <w:rsid w:val="00082C63"/>
    <w:rsid w:val="0008314F"/>
    <w:rsid w:val="00083FA0"/>
    <w:rsid w:val="00083FC6"/>
    <w:rsid w:val="00085138"/>
    <w:rsid w:val="00085DA8"/>
    <w:rsid w:val="00085FC0"/>
    <w:rsid w:val="000871C5"/>
    <w:rsid w:val="000878C2"/>
    <w:rsid w:val="00090C5A"/>
    <w:rsid w:val="00090F0C"/>
    <w:rsid w:val="0009144A"/>
    <w:rsid w:val="00091D3C"/>
    <w:rsid w:val="000920E6"/>
    <w:rsid w:val="00092DC9"/>
    <w:rsid w:val="0009318E"/>
    <w:rsid w:val="0009430A"/>
    <w:rsid w:val="000945E0"/>
    <w:rsid w:val="000949B5"/>
    <w:rsid w:val="00094BCA"/>
    <w:rsid w:val="00094FC9"/>
    <w:rsid w:val="000958FB"/>
    <w:rsid w:val="00096BD1"/>
    <w:rsid w:val="00097B59"/>
    <w:rsid w:val="000A0F3A"/>
    <w:rsid w:val="000A2F7A"/>
    <w:rsid w:val="000A38E1"/>
    <w:rsid w:val="000A3C4F"/>
    <w:rsid w:val="000A44DF"/>
    <w:rsid w:val="000A669C"/>
    <w:rsid w:val="000A6B70"/>
    <w:rsid w:val="000A6E09"/>
    <w:rsid w:val="000A7836"/>
    <w:rsid w:val="000B09BE"/>
    <w:rsid w:val="000B15B1"/>
    <w:rsid w:val="000B237D"/>
    <w:rsid w:val="000B3478"/>
    <w:rsid w:val="000B3730"/>
    <w:rsid w:val="000B4DD6"/>
    <w:rsid w:val="000B518B"/>
    <w:rsid w:val="000B51EE"/>
    <w:rsid w:val="000B5F55"/>
    <w:rsid w:val="000B5FCC"/>
    <w:rsid w:val="000B711C"/>
    <w:rsid w:val="000C03D4"/>
    <w:rsid w:val="000C0CDC"/>
    <w:rsid w:val="000C15D3"/>
    <w:rsid w:val="000C2602"/>
    <w:rsid w:val="000C41F7"/>
    <w:rsid w:val="000C4CBC"/>
    <w:rsid w:val="000C5701"/>
    <w:rsid w:val="000C592E"/>
    <w:rsid w:val="000C6B2C"/>
    <w:rsid w:val="000C7953"/>
    <w:rsid w:val="000D02AE"/>
    <w:rsid w:val="000D07EB"/>
    <w:rsid w:val="000D172F"/>
    <w:rsid w:val="000D1770"/>
    <w:rsid w:val="000D2C5A"/>
    <w:rsid w:val="000D2F2A"/>
    <w:rsid w:val="000D3E9E"/>
    <w:rsid w:val="000D596B"/>
    <w:rsid w:val="000D59DE"/>
    <w:rsid w:val="000D66C1"/>
    <w:rsid w:val="000E0338"/>
    <w:rsid w:val="000E065C"/>
    <w:rsid w:val="000E0768"/>
    <w:rsid w:val="000E17F5"/>
    <w:rsid w:val="000E2979"/>
    <w:rsid w:val="000E2E9C"/>
    <w:rsid w:val="000E5A8D"/>
    <w:rsid w:val="000E6AE2"/>
    <w:rsid w:val="000F0F4E"/>
    <w:rsid w:val="000F12AE"/>
    <w:rsid w:val="000F192E"/>
    <w:rsid w:val="000F27FB"/>
    <w:rsid w:val="000F328F"/>
    <w:rsid w:val="000F34D0"/>
    <w:rsid w:val="000F3902"/>
    <w:rsid w:val="000F48A9"/>
    <w:rsid w:val="000F5926"/>
    <w:rsid w:val="000F6B43"/>
    <w:rsid w:val="00100086"/>
    <w:rsid w:val="00100751"/>
    <w:rsid w:val="00100D74"/>
    <w:rsid w:val="00101812"/>
    <w:rsid w:val="001018E9"/>
    <w:rsid w:val="00102542"/>
    <w:rsid w:val="00103502"/>
    <w:rsid w:val="00103A9C"/>
    <w:rsid w:val="00104812"/>
    <w:rsid w:val="00104C64"/>
    <w:rsid w:val="00104CA8"/>
    <w:rsid w:val="00104EBF"/>
    <w:rsid w:val="001051E9"/>
    <w:rsid w:val="001052FE"/>
    <w:rsid w:val="00105AAA"/>
    <w:rsid w:val="001076D4"/>
    <w:rsid w:val="00107A2B"/>
    <w:rsid w:val="00111BF4"/>
    <w:rsid w:val="001123BA"/>
    <w:rsid w:val="00112495"/>
    <w:rsid w:val="00114E72"/>
    <w:rsid w:val="00115130"/>
    <w:rsid w:val="0011690C"/>
    <w:rsid w:val="001179DA"/>
    <w:rsid w:val="00117E4B"/>
    <w:rsid w:val="001219D1"/>
    <w:rsid w:val="00121CCC"/>
    <w:rsid w:val="00121E89"/>
    <w:rsid w:val="00121FDE"/>
    <w:rsid w:val="00122981"/>
    <w:rsid w:val="001231BF"/>
    <w:rsid w:val="00123840"/>
    <w:rsid w:val="00123936"/>
    <w:rsid w:val="00125C10"/>
    <w:rsid w:val="00130406"/>
    <w:rsid w:val="0013064F"/>
    <w:rsid w:val="00130970"/>
    <w:rsid w:val="00130E02"/>
    <w:rsid w:val="00132568"/>
    <w:rsid w:val="001326A7"/>
    <w:rsid w:val="0013355F"/>
    <w:rsid w:val="00133EA4"/>
    <w:rsid w:val="00133FBB"/>
    <w:rsid w:val="0014074F"/>
    <w:rsid w:val="00141B77"/>
    <w:rsid w:val="00142AB6"/>
    <w:rsid w:val="00142CF1"/>
    <w:rsid w:val="00143D43"/>
    <w:rsid w:val="00143D64"/>
    <w:rsid w:val="0014465D"/>
    <w:rsid w:val="00146241"/>
    <w:rsid w:val="00146E69"/>
    <w:rsid w:val="00150CBE"/>
    <w:rsid w:val="00151D4B"/>
    <w:rsid w:val="001521FA"/>
    <w:rsid w:val="001544CD"/>
    <w:rsid w:val="00154851"/>
    <w:rsid w:val="00155467"/>
    <w:rsid w:val="00155DE4"/>
    <w:rsid w:val="0015723F"/>
    <w:rsid w:val="001572A8"/>
    <w:rsid w:val="001574C0"/>
    <w:rsid w:val="0016042E"/>
    <w:rsid w:val="00160821"/>
    <w:rsid w:val="001609CF"/>
    <w:rsid w:val="001609D4"/>
    <w:rsid w:val="001613A7"/>
    <w:rsid w:val="001614B7"/>
    <w:rsid w:val="001630DF"/>
    <w:rsid w:val="00164D31"/>
    <w:rsid w:val="00164E04"/>
    <w:rsid w:val="0016558B"/>
    <w:rsid w:val="001658D7"/>
    <w:rsid w:val="00166600"/>
    <w:rsid w:val="00167850"/>
    <w:rsid w:val="0016796F"/>
    <w:rsid w:val="001705E9"/>
    <w:rsid w:val="00170E7D"/>
    <w:rsid w:val="0017102A"/>
    <w:rsid w:val="00171C99"/>
    <w:rsid w:val="0017242A"/>
    <w:rsid w:val="00172AD5"/>
    <w:rsid w:val="00172ED6"/>
    <w:rsid w:val="0017320F"/>
    <w:rsid w:val="00173D29"/>
    <w:rsid w:val="00175ED1"/>
    <w:rsid w:val="00176BFB"/>
    <w:rsid w:val="00176EE8"/>
    <w:rsid w:val="00177BA9"/>
    <w:rsid w:val="0018114D"/>
    <w:rsid w:val="001818DF"/>
    <w:rsid w:val="00181CAC"/>
    <w:rsid w:val="001833CD"/>
    <w:rsid w:val="00184457"/>
    <w:rsid w:val="001858C8"/>
    <w:rsid w:val="00186265"/>
    <w:rsid w:val="001869E0"/>
    <w:rsid w:val="00187861"/>
    <w:rsid w:val="001878D2"/>
    <w:rsid w:val="00190356"/>
    <w:rsid w:val="00190853"/>
    <w:rsid w:val="00190C28"/>
    <w:rsid w:val="00191D06"/>
    <w:rsid w:val="00193623"/>
    <w:rsid w:val="001939F1"/>
    <w:rsid w:val="00193E55"/>
    <w:rsid w:val="00194A90"/>
    <w:rsid w:val="00194F82"/>
    <w:rsid w:val="0019558E"/>
    <w:rsid w:val="00195A4E"/>
    <w:rsid w:val="0019647D"/>
    <w:rsid w:val="00196BF0"/>
    <w:rsid w:val="00196C46"/>
    <w:rsid w:val="0019741C"/>
    <w:rsid w:val="001976C6"/>
    <w:rsid w:val="001A0112"/>
    <w:rsid w:val="001A145E"/>
    <w:rsid w:val="001A36EC"/>
    <w:rsid w:val="001A373E"/>
    <w:rsid w:val="001A3C98"/>
    <w:rsid w:val="001A416B"/>
    <w:rsid w:val="001A449A"/>
    <w:rsid w:val="001A6A30"/>
    <w:rsid w:val="001A7AB9"/>
    <w:rsid w:val="001B0313"/>
    <w:rsid w:val="001B1404"/>
    <w:rsid w:val="001B15C5"/>
    <w:rsid w:val="001B1604"/>
    <w:rsid w:val="001B2C6F"/>
    <w:rsid w:val="001B2E94"/>
    <w:rsid w:val="001B3751"/>
    <w:rsid w:val="001B480B"/>
    <w:rsid w:val="001B569B"/>
    <w:rsid w:val="001B5A55"/>
    <w:rsid w:val="001B6591"/>
    <w:rsid w:val="001B7D82"/>
    <w:rsid w:val="001C0E70"/>
    <w:rsid w:val="001C0EF9"/>
    <w:rsid w:val="001C17AB"/>
    <w:rsid w:val="001C1CCC"/>
    <w:rsid w:val="001C27A7"/>
    <w:rsid w:val="001C3772"/>
    <w:rsid w:val="001C3AF7"/>
    <w:rsid w:val="001C40C6"/>
    <w:rsid w:val="001C4FFC"/>
    <w:rsid w:val="001C5046"/>
    <w:rsid w:val="001C680C"/>
    <w:rsid w:val="001C743F"/>
    <w:rsid w:val="001C796A"/>
    <w:rsid w:val="001C7BDB"/>
    <w:rsid w:val="001C7CB7"/>
    <w:rsid w:val="001D10AE"/>
    <w:rsid w:val="001D1966"/>
    <w:rsid w:val="001D1B22"/>
    <w:rsid w:val="001D2569"/>
    <w:rsid w:val="001D294B"/>
    <w:rsid w:val="001D2E0C"/>
    <w:rsid w:val="001D3032"/>
    <w:rsid w:val="001D5C88"/>
    <w:rsid w:val="001D74A3"/>
    <w:rsid w:val="001D75CF"/>
    <w:rsid w:val="001D77B2"/>
    <w:rsid w:val="001E0A2E"/>
    <w:rsid w:val="001E172C"/>
    <w:rsid w:val="001E28DC"/>
    <w:rsid w:val="001E3CCF"/>
    <w:rsid w:val="001E3EDB"/>
    <w:rsid w:val="001E44F9"/>
    <w:rsid w:val="001E5511"/>
    <w:rsid w:val="001E6430"/>
    <w:rsid w:val="001E64C1"/>
    <w:rsid w:val="001E65AA"/>
    <w:rsid w:val="001E6717"/>
    <w:rsid w:val="001F038F"/>
    <w:rsid w:val="001F302A"/>
    <w:rsid w:val="001F35AB"/>
    <w:rsid w:val="001F3856"/>
    <w:rsid w:val="001F58A9"/>
    <w:rsid w:val="001F6467"/>
    <w:rsid w:val="001F6593"/>
    <w:rsid w:val="001F6FC1"/>
    <w:rsid w:val="001F7C62"/>
    <w:rsid w:val="001F7FE1"/>
    <w:rsid w:val="00203476"/>
    <w:rsid w:val="00204672"/>
    <w:rsid w:val="00205378"/>
    <w:rsid w:val="002114C7"/>
    <w:rsid w:val="002120C3"/>
    <w:rsid w:val="002137AE"/>
    <w:rsid w:val="00213AF5"/>
    <w:rsid w:val="002146FB"/>
    <w:rsid w:val="00214B03"/>
    <w:rsid w:val="00214CAF"/>
    <w:rsid w:val="00214D15"/>
    <w:rsid w:val="0021529C"/>
    <w:rsid w:val="00215881"/>
    <w:rsid w:val="00215BC1"/>
    <w:rsid w:val="00216A31"/>
    <w:rsid w:val="002179DF"/>
    <w:rsid w:val="002202DA"/>
    <w:rsid w:val="0022033D"/>
    <w:rsid w:val="002217AD"/>
    <w:rsid w:val="00222F6F"/>
    <w:rsid w:val="002240FB"/>
    <w:rsid w:val="00224350"/>
    <w:rsid w:val="00224744"/>
    <w:rsid w:val="0022532A"/>
    <w:rsid w:val="002254F5"/>
    <w:rsid w:val="002259BF"/>
    <w:rsid w:val="002267A7"/>
    <w:rsid w:val="00226EA3"/>
    <w:rsid w:val="00227F36"/>
    <w:rsid w:val="00231807"/>
    <w:rsid w:val="002319E1"/>
    <w:rsid w:val="002325BC"/>
    <w:rsid w:val="0023287A"/>
    <w:rsid w:val="002344C5"/>
    <w:rsid w:val="00235F7F"/>
    <w:rsid w:val="00240385"/>
    <w:rsid w:val="00240B05"/>
    <w:rsid w:val="002414EF"/>
    <w:rsid w:val="00242387"/>
    <w:rsid w:val="00242654"/>
    <w:rsid w:val="00242723"/>
    <w:rsid w:val="00242CAB"/>
    <w:rsid w:val="00242F2A"/>
    <w:rsid w:val="0024399A"/>
    <w:rsid w:val="00243B85"/>
    <w:rsid w:val="00245B17"/>
    <w:rsid w:val="002460FF"/>
    <w:rsid w:val="0024748C"/>
    <w:rsid w:val="00247C77"/>
    <w:rsid w:val="002507A3"/>
    <w:rsid w:val="00250ECF"/>
    <w:rsid w:val="00251430"/>
    <w:rsid w:val="00251638"/>
    <w:rsid w:val="00251980"/>
    <w:rsid w:val="00252BB4"/>
    <w:rsid w:val="00252EF3"/>
    <w:rsid w:val="00253BFB"/>
    <w:rsid w:val="00254302"/>
    <w:rsid w:val="00254A9E"/>
    <w:rsid w:val="00255093"/>
    <w:rsid w:val="00256186"/>
    <w:rsid w:val="002565BE"/>
    <w:rsid w:val="0026064D"/>
    <w:rsid w:val="002607BD"/>
    <w:rsid w:val="00260FF3"/>
    <w:rsid w:val="002614E2"/>
    <w:rsid w:val="00262353"/>
    <w:rsid w:val="00263801"/>
    <w:rsid w:val="00263BF2"/>
    <w:rsid w:val="0026470D"/>
    <w:rsid w:val="00265C1D"/>
    <w:rsid w:val="00266499"/>
    <w:rsid w:val="0026762C"/>
    <w:rsid w:val="002677D5"/>
    <w:rsid w:val="00267841"/>
    <w:rsid w:val="002678D7"/>
    <w:rsid w:val="00270460"/>
    <w:rsid w:val="0027132C"/>
    <w:rsid w:val="00271D2C"/>
    <w:rsid w:val="00272D71"/>
    <w:rsid w:val="00273C80"/>
    <w:rsid w:val="00273F9D"/>
    <w:rsid w:val="00274314"/>
    <w:rsid w:val="002745C0"/>
    <w:rsid w:val="002753CA"/>
    <w:rsid w:val="00275BFA"/>
    <w:rsid w:val="002760F4"/>
    <w:rsid w:val="00276283"/>
    <w:rsid w:val="00282399"/>
    <w:rsid w:val="00282C9E"/>
    <w:rsid w:val="00282E72"/>
    <w:rsid w:val="0028335A"/>
    <w:rsid w:val="00283BCA"/>
    <w:rsid w:val="002841E0"/>
    <w:rsid w:val="002843A1"/>
    <w:rsid w:val="0028581B"/>
    <w:rsid w:val="00287071"/>
    <w:rsid w:val="00291194"/>
    <w:rsid w:val="002931D7"/>
    <w:rsid w:val="00293ED2"/>
    <w:rsid w:val="00294CEF"/>
    <w:rsid w:val="0029584C"/>
    <w:rsid w:val="00295952"/>
    <w:rsid w:val="00295E53"/>
    <w:rsid w:val="002968CC"/>
    <w:rsid w:val="0029694B"/>
    <w:rsid w:val="00296C64"/>
    <w:rsid w:val="00296CB4"/>
    <w:rsid w:val="00296F0B"/>
    <w:rsid w:val="002979D4"/>
    <w:rsid w:val="002A00FB"/>
    <w:rsid w:val="002A12BB"/>
    <w:rsid w:val="002A220E"/>
    <w:rsid w:val="002A2363"/>
    <w:rsid w:val="002A23E1"/>
    <w:rsid w:val="002A3046"/>
    <w:rsid w:val="002A3C66"/>
    <w:rsid w:val="002A4181"/>
    <w:rsid w:val="002A4F85"/>
    <w:rsid w:val="002A538C"/>
    <w:rsid w:val="002A545E"/>
    <w:rsid w:val="002A5F2C"/>
    <w:rsid w:val="002A614B"/>
    <w:rsid w:val="002A631D"/>
    <w:rsid w:val="002A6FC6"/>
    <w:rsid w:val="002A7B64"/>
    <w:rsid w:val="002A7D30"/>
    <w:rsid w:val="002A7F52"/>
    <w:rsid w:val="002B0790"/>
    <w:rsid w:val="002B2DD3"/>
    <w:rsid w:val="002B2FAB"/>
    <w:rsid w:val="002B3104"/>
    <w:rsid w:val="002B36E4"/>
    <w:rsid w:val="002B430F"/>
    <w:rsid w:val="002B4434"/>
    <w:rsid w:val="002B624D"/>
    <w:rsid w:val="002B6424"/>
    <w:rsid w:val="002B6762"/>
    <w:rsid w:val="002B6ABF"/>
    <w:rsid w:val="002B6F1C"/>
    <w:rsid w:val="002C049A"/>
    <w:rsid w:val="002C41AE"/>
    <w:rsid w:val="002C58BD"/>
    <w:rsid w:val="002C5CBD"/>
    <w:rsid w:val="002C625B"/>
    <w:rsid w:val="002C697B"/>
    <w:rsid w:val="002C6AB6"/>
    <w:rsid w:val="002C6E6A"/>
    <w:rsid w:val="002C73B4"/>
    <w:rsid w:val="002C7955"/>
    <w:rsid w:val="002C7B33"/>
    <w:rsid w:val="002D1F81"/>
    <w:rsid w:val="002D293C"/>
    <w:rsid w:val="002D2F26"/>
    <w:rsid w:val="002D44DE"/>
    <w:rsid w:val="002D49BF"/>
    <w:rsid w:val="002D5CD0"/>
    <w:rsid w:val="002D709E"/>
    <w:rsid w:val="002E0E2D"/>
    <w:rsid w:val="002E68EF"/>
    <w:rsid w:val="002E719A"/>
    <w:rsid w:val="002F0932"/>
    <w:rsid w:val="002F0B2B"/>
    <w:rsid w:val="002F0CFF"/>
    <w:rsid w:val="002F0E78"/>
    <w:rsid w:val="002F18D3"/>
    <w:rsid w:val="002F216A"/>
    <w:rsid w:val="002F25DE"/>
    <w:rsid w:val="002F2765"/>
    <w:rsid w:val="002F2FBC"/>
    <w:rsid w:val="002F458F"/>
    <w:rsid w:val="002F4DE6"/>
    <w:rsid w:val="002F5FBF"/>
    <w:rsid w:val="002F723D"/>
    <w:rsid w:val="002F77EF"/>
    <w:rsid w:val="00300A87"/>
    <w:rsid w:val="00300DEA"/>
    <w:rsid w:val="0030463C"/>
    <w:rsid w:val="00305397"/>
    <w:rsid w:val="00305BB0"/>
    <w:rsid w:val="0030749C"/>
    <w:rsid w:val="003100FE"/>
    <w:rsid w:val="0031016D"/>
    <w:rsid w:val="00310D9B"/>
    <w:rsid w:val="00310DCC"/>
    <w:rsid w:val="00311520"/>
    <w:rsid w:val="00311974"/>
    <w:rsid w:val="00311C92"/>
    <w:rsid w:val="003126E8"/>
    <w:rsid w:val="00313522"/>
    <w:rsid w:val="0031371D"/>
    <w:rsid w:val="00313B5F"/>
    <w:rsid w:val="00313C93"/>
    <w:rsid w:val="003146C1"/>
    <w:rsid w:val="003147B3"/>
    <w:rsid w:val="0031492B"/>
    <w:rsid w:val="00314B08"/>
    <w:rsid w:val="00314CD4"/>
    <w:rsid w:val="003209AB"/>
    <w:rsid w:val="003220BD"/>
    <w:rsid w:val="003225FE"/>
    <w:rsid w:val="0032281F"/>
    <w:rsid w:val="00322CB2"/>
    <w:rsid w:val="00323B2D"/>
    <w:rsid w:val="00323CFE"/>
    <w:rsid w:val="00324D79"/>
    <w:rsid w:val="00325374"/>
    <w:rsid w:val="00325DD3"/>
    <w:rsid w:val="00325F04"/>
    <w:rsid w:val="0032658C"/>
    <w:rsid w:val="003265FE"/>
    <w:rsid w:val="0032681F"/>
    <w:rsid w:val="003272A2"/>
    <w:rsid w:val="00327FC4"/>
    <w:rsid w:val="003307B9"/>
    <w:rsid w:val="00330BAB"/>
    <w:rsid w:val="00330F30"/>
    <w:rsid w:val="00333CFC"/>
    <w:rsid w:val="003342B2"/>
    <w:rsid w:val="003357AC"/>
    <w:rsid w:val="00335881"/>
    <w:rsid w:val="0033636D"/>
    <w:rsid w:val="00336C3C"/>
    <w:rsid w:val="003370EB"/>
    <w:rsid w:val="00337268"/>
    <w:rsid w:val="00337337"/>
    <w:rsid w:val="00337C80"/>
    <w:rsid w:val="00340652"/>
    <w:rsid w:val="003411E8"/>
    <w:rsid w:val="003418EC"/>
    <w:rsid w:val="00342275"/>
    <w:rsid w:val="003424A6"/>
    <w:rsid w:val="00342819"/>
    <w:rsid w:val="00342F89"/>
    <w:rsid w:val="00343BE7"/>
    <w:rsid w:val="003442F5"/>
    <w:rsid w:val="003444E9"/>
    <w:rsid w:val="003455D7"/>
    <w:rsid w:val="003455F4"/>
    <w:rsid w:val="003459D9"/>
    <w:rsid w:val="00346009"/>
    <w:rsid w:val="00346DD3"/>
    <w:rsid w:val="003474AF"/>
    <w:rsid w:val="003478A9"/>
    <w:rsid w:val="00347A18"/>
    <w:rsid w:val="00350812"/>
    <w:rsid w:val="00351BF6"/>
    <w:rsid w:val="00351C34"/>
    <w:rsid w:val="00351EF0"/>
    <w:rsid w:val="003522B4"/>
    <w:rsid w:val="0035255A"/>
    <w:rsid w:val="00352CAC"/>
    <w:rsid w:val="00354443"/>
    <w:rsid w:val="00354655"/>
    <w:rsid w:val="003547D3"/>
    <w:rsid w:val="003555C2"/>
    <w:rsid w:val="00355B98"/>
    <w:rsid w:val="00356619"/>
    <w:rsid w:val="003601D4"/>
    <w:rsid w:val="003610AC"/>
    <w:rsid w:val="00361A96"/>
    <w:rsid w:val="0036373B"/>
    <w:rsid w:val="003637EA"/>
    <w:rsid w:val="00364E6C"/>
    <w:rsid w:val="00365178"/>
    <w:rsid w:val="003651A7"/>
    <w:rsid w:val="0036529C"/>
    <w:rsid w:val="00365751"/>
    <w:rsid w:val="00365F1D"/>
    <w:rsid w:val="00367BE6"/>
    <w:rsid w:val="003709F2"/>
    <w:rsid w:val="00371806"/>
    <w:rsid w:val="00371EA9"/>
    <w:rsid w:val="00372114"/>
    <w:rsid w:val="00372C01"/>
    <w:rsid w:val="00373190"/>
    <w:rsid w:val="00373AA4"/>
    <w:rsid w:val="00373CCD"/>
    <w:rsid w:val="00373F72"/>
    <w:rsid w:val="00374A32"/>
    <w:rsid w:val="00375C1F"/>
    <w:rsid w:val="00375DA1"/>
    <w:rsid w:val="00381924"/>
    <w:rsid w:val="0038243B"/>
    <w:rsid w:val="00382A12"/>
    <w:rsid w:val="00384161"/>
    <w:rsid w:val="00384278"/>
    <w:rsid w:val="00385271"/>
    <w:rsid w:val="003853FA"/>
    <w:rsid w:val="00385989"/>
    <w:rsid w:val="00385B43"/>
    <w:rsid w:val="00385EFC"/>
    <w:rsid w:val="00386A1C"/>
    <w:rsid w:val="00386C91"/>
    <w:rsid w:val="00390E65"/>
    <w:rsid w:val="0039121A"/>
    <w:rsid w:val="00391DC9"/>
    <w:rsid w:val="00392DBC"/>
    <w:rsid w:val="0039364B"/>
    <w:rsid w:val="003948FE"/>
    <w:rsid w:val="003952AA"/>
    <w:rsid w:val="003954EA"/>
    <w:rsid w:val="0039553C"/>
    <w:rsid w:val="00395C4A"/>
    <w:rsid w:val="003966B4"/>
    <w:rsid w:val="00396A35"/>
    <w:rsid w:val="00396B52"/>
    <w:rsid w:val="0039763D"/>
    <w:rsid w:val="003A259B"/>
    <w:rsid w:val="003A36B3"/>
    <w:rsid w:val="003A3D49"/>
    <w:rsid w:val="003A4184"/>
    <w:rsid w:val="003A42B9"/>
    <w:rsid w:val="003A5728"/>
    <w:rsid w:val="003A63E1"/>
    <w:rsid w:val="003A69B8"/>
    <w:rsid w:val="003A73E0"/>
    <w:rsid w:val="003B06F7"/>
    <w:rsid w:val="003B0944"/>
    <w:rsid w:val="003B1DA1"/>
    <w:rsid w:val="003B259A"/>
    <w:rsid w:val="003B27EC"/>
    <w:rsid w:val="003B3DD4"/>
    <w:rsid w:val="003B3E42"/>
    <w:rsid w:val="003B4F2F"/>
    <w:rsid w:val="003B4FF5"/>
    <w:rsid w:val="003B50FF"/>
    <w:rsid w:val="003B5189"/>
    <w:rsid w:val="003B65EB"/>
    <w:rsid w:val="003B6E1B"/>
    <w:rsid w:val="003B6F61"/>
    <w:rsid w:val="003B7A7F"/>
    <w:rsid w:val="003C0909"/>
    <w:rsid w:val="003C19C4"/>
    <w:rsid w:val="003C19DA"/>
    <w:rsid w:val="003C21D3"/>
    <w:rsid w:val="003C21ED"/>
    <w:rsid w:val="003C233F"/>
    <w:rsid w:val="003C2E50"/>
    <w:rsid w:val="003C3D5D"/>
    <w:rsid w:val="003C49DE"/>
    <w:rsid w:val="003C5301"/>
    <w:rsid w:val="003C5B33"/>
    <w:rsid w:val="003C64A4"/>
    <w:rsid w:val="003D1D32"/>
    <w:rsid w:val="003D2BDF"/>
    <w:rsid w:val="003D300E"/>
    <w:rsid w:val="003D53CC"/>
    <w:rsid w:val="003D5C74"/>
    <w:rsid w:val="003D626F"/>
    <w:rsid w:val="003D70EF"/>
    <w:rsid w:val="003D72DA"/>
    <w:rsid w:val="003D7381"/>
    <w:rsid w:val="003D741A"/>
    <w:rsid w:val="003D7CCB"/>
    <w:rsid w:val="003E08E6"/>
    <w:rsid w:val="003E0B58"/>
    <w:rsid w:val="003E0EF0"/>
    <w:rsid w:val="003E1035"/>
    <w:rsid w:val="003E2808"/>
    <w:rsid w:val="003E33AD"/>
    <w:rsid w:val="003E4596"/>
    <w:rsid w:val="003E4AAD"/>
    <w:rsid w:val="003E5FC2"/>
    <w:rsid w:val="003E7D29"/>
    <w:rsid w:val="003F00FE"/>
    <w:rsid w:val="003F0D50"/>
    <w:rsid w:val="003F0F09"/>
    <w:rsid w:val="003F157B"/>
    <w:rsid w:val="003F26C5"/>
    <w:rsid w:val="003F31E6"/>
    <w:rsid w:val="003F32AE"/>
    <w:rsid w:val="003F43AF"/>
    <w:rsid w:val="003F460F"/>
    <w:rsid w:val="003F4A19"/>
    <w:rsid w:val="003F5341"/>
    <w:rsid w:val="003F54B6"/>
    <w:rsid w:val="003F5F64"/>
    <w:rsid w:val="003F62FC"/>
    <w:rsid w:val="003F6FDD"/>
    <w:rsid w:val="003F7031"/>
    <w:rsid w:val="003F73A9"/>
    <w:rsid w:val="003F7634"/>
    <w:rsid w:val="0040007D"/>
    <w:rsid w:val="0040145C"/>
    <w:rsid w:val="004016C3"/>
    <w:rsid w:val="00402C1C"/>
    <w:rsid w:val="00403192"/>
    <w:rsid w:val="004048E2"/>
    <w:rsid w:val="00405C5A"/>
    <w:rsid w:val="00405DF1"/>
    <w:rsid w:val="0040617D"/>
    <w:rsid w:val="00407B5B"/>
    <w:rsid w:val="004102D4"/>
    <w:rsid w:val="004109AE"/>
    <w:rsid w:val="0041205D"/>
    <w:rsid w:val="0041258F"/>
    <w:rsid w:val="00412985"/>
    <w:rsid w:val="0041385C"/>
    <w:rsid w:val="00413D8C"/>
    <w:rsid w:val="00414555"/>
    <w:rsid w:val="0041553F"/>
    <w:rsid w:val="004166EF"/>
    <w:rsid w:val="0041695B"/>
    <w:rsid w:val="00417221"/>
    <w:rsid w:val="004213A1"/>
    <w:rsid w:val="004220C7"/>
    <w:rsid w:val="004238DA"/>
    <w:rsid w:val="0042514B"/>
    <w:rsid w:val="004251A2"/>
    <w:rsid w:val="00425287"/>
    <w:rsid w:val="004259F8"/>
    <w:rsid w:val="004271A8"/>
    <w:rsid w:val="004277BD"/>
    <w:rsid w:val="00430FC4"/>
    <w:rsid w:val="00432788"/>
    <w:rsid w:val="00432BCC"/>
    <w:rsid w:val="00432E19"/>
    <w:rsid w:val="00434B07"/>
    <w:rsid w:val="004351F2"/>
    <w:rsid w:val="004360DB"/>
    <w:rsid w:val="00436582"/>
    <w:rsid w:val="00437057"/>
    <w:rsid w:val="004373B7"/>
    <w:rsid w:val="00437B9F"/>
    <w:rsid w:val="00437EB8"/>
    <w:rsid w:val="00440AFB"/>
    <w:rsid w:val="0044197D"/>
    <w:rsid w:val="0044211D"/>
    <w:rsid w:val="00442F2E"/>
    <w:rsid w:val="00444FB1"/>
    <w:rsid w:val="00445172"/>
    <w:rsid w:val="0044572E"/>
    <w:rsid w:val="00447604"/>
    <w:rsid w:val="00450092"/>
    <w:rsid w:val="004506E9"/>
    <w:rsid w:val="0045090A"/>
    <w:rsid w:val="00450BEB"/>
    <w:rsid w:val="0045119F"/>
    <w:rsid w:val="004516FF"/>
    <w:rsid w:val="00451948"/>
    <w:rsid w:val="00451BCE"/>
    <w:rsid w:val="00452658"/>
    <w:rsid w:val="00452E5C"/>
    <w:rsid w:val="00460C02"/>
    <w:rsid w:val="00461029"/>
    <w:rsid w:val="004621A0"/>
    <w:rsid w:val="00462280"/>
    <w:rsid w:val="004629D4"/>
    <w:rsid w:val="00462A0C"/>
    <w:rsid w:val="0046350D"/>
    <w:rsid w:val="004646F6"/>
    <w:rsid w:val="00464EBD"/>
    <w:rsid w:val="00472A97"/>
    <w:rsid w:val="00473859"/>
    <w:rsid w:val="00473F76"/>
    <w:rsid w:val="00474196"/>
    <w:rsid w:val="00474C6C"/>
    <w:rsid w:val="00475DA1"/>
    <w:rsid w:val="00475E40"/>
    <w:rsid w:val="00476449"/>
    <w:rsid w:val="00476B26"/>
    <w:rsid w:val="0048074A"/>
    <w:rsid w:val="00480F4F"/>
    <w:rsid w:val="00481321"/>
    <w:rsid w:val="004814E6"/>
    <w:rsid w:val="00481D37"/>
    <w:rsid w:val="00482347"/>
    <w:rsid w:val="00482C02"/>
    <w:rsid w:val="00484155"/>
    <w:rsid w:val="004841D9"/>
    <w:rsid w:val="00484975"/>
    <w:rsid w:val="004854B7"/>
    <w:rsid w:val="0048614F"/>
    <w:rsid w:val="00487174"/>
    <w:rsid w:val="00490884"/>
    <w:rsid w:val="00491B39"/>
    <w:rsid w:val="00492193"/>
    <w:rsid w:val="00492207"/>
    <w:rsid w:val="004942A9"/>
    <w:rsid w:val="00495DBA"/>
    <w:rsid w:val="00495FB5"/>
    <w:rsid w:val="00495FC4"/>
    <w:rsid w:val="00496059"/>
    <w:rsid w:val="004972C9"/>
    <w:rsid w:val="00497DEA"/>
    <w:rsid w:val="004A0017"/>
    <w:rsid w:val="004A3CD2"/>
    <w:rsid w:val="004A55E2"/>
    <w:rsid w:val="004A6D61"/>
    <w:rsid w:val="004A7640"/>
    <w:rsid w:val="004B10E8"/>
    <w:rsid w:val="004B173E"/>
    <w:rsid w:val="004B1B2F"/>
    <w:rsid w:val="004B1BE5"/>
    <w:rsid w:val="004B384F"/>
    <w:rsid w:val="004B477A"/>
    <w:rsid w:val="004B53B8"/>
    <w:rsid w:val="004B5A5F"/>
    <w:rsid w:val="004B5B9E"/>
    <w:rsid w:val="004B656C"/>
    <w:rsid w:val="004B673A"/>
    <w:rsid w:val="004B69E5"/>
    <w:rsid w:val="004B72DD"/>
    <w:rsid w:val="004B776B"/>
    <w:rsid w:val="004C03EB"/>
    <w:rsid w:val="004C08A2"/>
    <w:rsid w:val="004C0FAE"/>
    <w:rsid w:val="004C1384"/>
    <w:rsid w:val="004C17A1"/>
    <w:rsid w:val="004C18E7"/>
    <w:rsid w:val="004C3B38"/>
    <w:rsid w:val="004C4090"/>
    <w:rsid w:val="004C495C"/>
    <w:rsid w:val="004C4BBD"/>
    <w:rsid w:val="004C6061"/>
    <w:rsid w:val="004D0249"/>
    <w:rsid w:val="004D029D"/>
    <w:rsid w:val="004D0FC0"/>
    <w:rsid w:val="004D30A4"/>
    <w:rsid w:val="004D38F6"/>
    <w:rsid w:val="004D3D22"/>
    <w:rsid w:val="004D57D1"/>
    <w:rsid w:val="004D670F"/>
    <w:rsid w:val="004D683E"/>
    <w:rsid w:val="004D6F80"/>
    <w:rsid w:val="004E1AB3"/>
    <w:rsid w:val="004E2A4E"/>
    <w:rsid w:val="004E33A8"/>
    <w:rsid w:val="004E4BA5"/>
    <w:rsid w:val="004E53EF"/>
    <w:rsid w:val="004E687C"/>
    <w:rsid w:val="004E6AAE"/>
    <w:rsid w:val="004E6ED5"/>
    <w:rsid w:val="004E7394"/>
    <w:rsid w:val="004E7E65"/>
    <w:rsid w:val="004F0A7C"/>
    <w:rsid w:val="004F0C2F"/>
    <w:rsid w:val="004F0F08"/>
    <w:rsid w:val="004F2107"/>
    <w:rsid w:val="004F24AF"/>
    <w:rsid w:val="004F26FE"/>
    <w:rsid w:val="004F343E"/>
    <w:rsid w:val="004F542D"/>
    <w:rsid w:val="004F5B52"/>
    <w:rsid w:val="004F70EE"/>
    <w:rsid w:val="004F7B09"/>
    <w:rsid w:val="00500081"/>
    <w:rsid w:val="00501FBB"/>
    <w:rsid w:val="005025D8"/>
    <w:rsid w:val="00502B15"/>
    <w:rsid w:val="00502D07"/>
    <w:rsid w:val="00503BF0"/>
    <w:rsid w:val="00503D08"/>
    <w:rsid w:val="00503F37"/>
    <w:rsid w:val="005044EC"/>
    <w:rsid w:val="00504FDE"/>
    <w:rsid w:val="00505AF9"/>
    <w:rsid w:val="00505C12"/>
    <w:rsid w:val="005070C1"/>
    <w:rsid w:val="00511D20"/>
    <w:rsid w:val="0051202A"/>
    <w:rsid w:val="0051211A"/>
    <w:rsid w:val="0051353B"/>
    <w:rsid w:val="00516F63"/>
    <w:rsid w:val="005205DA"/>
    <w:rsid w:val="00521F7D"/>
    <w:rsid w:val="00523053"/>
    <w:rsid w:val="00523211"/>
    <w:rsid w:val="0052368F"/>
    <w:rsid w:val="00524A23"/>
    <w:rsid w:val="0052505A"/>
    <w:rsid w:val="005256BA"/>
    <w:rsid w:val="00526D65"/>
    <w:rsid w:val="0052703A"/>
    <w:rsid w:val="005274C3"/>
    <w:rsid w:val="00527720"/>
    <w:rsid w:val="00531D3C"/>
    <w:rsid w:val="00533F99"/>
    <w:rsid w:val="005347E2"/>
    <w:rsid w:val="005371B5"/>
    <w:rsid w:val="00537BFF"/>
    <w:rsid w:val="00540C1D"/>
    <w:rsid w:val="00541DC9"/>
    <w:rsid w:val="00542A4A"/>
    <w:rsid w:val="00542AD5"/>
    <w:rsid w:val="00543C8E"/>
    <w:rsid w:val="0054523D"/>
    <w:rsid w:val="00545611"/>
    <w:rsid w:val="0054607B"/>
    <w:rsid w:val="00546812"/>
    <w:rsid w:val="005474AF"/>
    <w:rsid w:val="005500AB"/>
    <w:rsid w:val="00550891"/>
    <w:rsid w:val="005510A4"/>
    <w:rsid w:val="00551504"/>
    <w:rsid w:val="00551822"/>
    <w:rsid w:val="00552A47"/>
    <w:rsid w:val="00552DBE"/>
    <w:rsid w:val="0055382B"/>
    <w:rsid w:val="005539D9"/>
    <w:rsid w:val="00554AFB"/>
    <w:rsid w:val="00555EF3"/>
    <w:rsid w:val="00556663"/>
    <w:rsid w:val="005614B5"/>
    <w:rsid w:val="00562258"/>
    <w:rsid w:val="005627CA"/>
    <w:rsid w:val="00562C54"/>
    <w:rsid w:val="005631AC"/>
    <w:rsid w:val="005636DA"/>
    <w:rsid w:val="0056576A"/>
    <w:rsid w:val="00565EED"/>
    <w:rsid w:val="005664AE"/>
    <w:rsid w:val="00567891"/>
    <w:rsid w:val="00567F9C"/>
    <w:rsid w:val="005705A1"/>
    <w:rsid w:val="00570B04"/>
    <w:rsid w:val="00570B5F"/>
    <w:rsid w:val="00570BC6"/>
    <w:rsid w:val="0057488F"/>
    <w:rsid w:val="00576B36"/>
    <w:rsid w:val="00576DC2"/>
    <w:rsid w:val="00576FB1"/>
    <w:rsid w:val="0057719E"/>
    <w:rsid w:val="00577308"/>
    <w:rsid w:val="00577BC5"/>
    <w:rsid w:val="00577DA6"/>
    <w:rsid w:val="005816B1"/>
    <w:rsid w:val="00581839"/>
    <w:rsid w:val="005836D7"/>
    <w:rsid w:val="00584430"/>
    <w:rsid w:val="005847C9"/>
    <w:rsid w:val="005859FA"/>
    <w:rsid w:val="005867AF"/>
    <w:rsid w:val="005873C2"/>
    <w:rsid w:val="005907FC"/>
    <w:rsid w:val="00590FD1"/>
    <w:rsid w:val="00591FBF"/>
    <w:rsid w:val="00592ED7"/>
    <w:rsid w:val="00594C50"/>
    <w:rsid w:val="005963B5"/>
    <w:rsid w:val="00597A4F"/>
    <w:rsid w:val="005A07A7"/>
    <w:rsid w:val="005A1AAF"/>
    <w:rsid w:val="005A3C27"/>
    <w:rsid w:val="005A3CBA"/>
    <w:rsid w:val="005A466B"/>
    <w:rsid w:val="005A4CAD"/>
    <w:rsid w:val="005A55A0"/>
    <w:rsid w:val="005B10CC"/>
    <w:rsid w:val="005B34C0"/>
    <w:rsid w:val="005B4407"/>
    <w:rsid w:val="005B44A5"/>
    <w:rsid w:val="005B4C61"/>
    <w:rsid w:val="005B4E4C"/>
    <w:rsid w:val="005B525E"/>
    <w:rsid w:val="005B528F"/>
    <w:rsid w:val="005B5382"/>
    <w:rsid w:val="005B5575"/>
    <w:rsid w:val="005B7386"/>
    <w:rsid w:val="005B76D4"/>
    <w:rsid w:val="005C01F0"/>
    <w:rsid w:val="005C0421"/>
    <w:rsid w:val="005C1AC0"/>
    <w:rsid w:val="005C1FFB"/>
    <w:rsid w:val="005C36A6"/>
    <w:rsid w:val="005C43F8"/>
    <w:rsid w:val="005C4ADF"/>
    <w:rsid w:val="005C4C08"/>
    <w:rsid w:val="005C66E7"/>
    <w:rsid w:val="005C71D6"/>
    <w:rsid w:val="005D0BD3"/>
    <w:rsid w:val="005D3E1F"/>
    <w:rsid w:val="005D57A9"/>
    <w:rsid w:val="005D5A4B"/>
    <w:rsid w:val="005D6A4A"/>
    <w:rsid w:val="005D6EB1"/>
    <w:rsid w:val="005D743C"/>
    <w:rsid w:val="005E0163"/>
    <w:rsid w:val="005E0196"/>
    <w:rsid w:val="005E03C9"/>
    <w:rsid w:val="005E0C4E"/>
    <w:rsid w:val="005E0C80"/>
    <w:rsid w:val="005E0FD5"/>
    <w:rsid w:val="005E1E02"/>
    <w:rsid w:val="005E2C56"/>
    <w:rsid w:val="005E3FBD"/>
    <w:rsid w:val="005E45B4"/>
    <w:rsid w:val="005E706A"/>
    <w:rsid w:val="005E7266"/>
    <w:rsid w:val="005E73EF"/>
    <w:rsid w:val="005E7EFD"/>
    <w:rsid w:val="005F0F56"/>
    <w:rsid w:val="005F2625"/>
    <w:rsid w:val="005F30D7"/>
    <w:rsid w:val="005F30DD"/>
    <w:rsid w:val="005F4B5A"/>
    <w:rsid w:val="005F6CDA"/>
    <w:rsid w:val="00600026"/>
    <w:rsid w:val="0060026C"/>
    <w:rsid w:val="006004E0"/>
    <w:rsid w:val="00601675"/>
    <w:rsid w:val="006017D8"/>
    <w:rsid w:val="00601F91"/>
    <w:rsid w:val="00602ACD"/>
    <w:rsid w:val="00602E01"/>
    <w:rsid w:val="00604C9E"/>
    <w:rsid w:val="00605013"/>
    <w:rsid w:val="00606FF4"/>
    <w:rsid w:val="00607A30"/>
    <w:rsid w:val="00607DEF"/>
    <w:rsid w:val="006104CA"/>
    <w:rsid w:val="00610DF5"/>
    <w:rsid w:val="00610E50"/>
    <w:rsid w:val="00610ECE"/>
    <w:rsid w:val="00612337"/>
    <w:rsid w:val="00613692"/>
    <w:rsid w:val="00615326"/>
    <w:rsid w:val="006155E4"/>
    <w:rsid w:val="00615956"/>
    <w:rsid w:val="00616912"/>
    <w:rsid w:val="006171C7"/>
    <w:rsid w:val="006173FD"/>
    <w:rsid w:val="0061744F"/>
    <w:rsid w:val="0061754E"/>
    <w:rsid w:val="00617744"/>
    <w:rsid w:val="00617DC9"/>
    <w:rsid w:val="00620CE1"/>
    <w:rsid w:val="00620EAF"/>
    <w:rsid w:val="00621B9F"/>
    <w:rsid w:val="00622763"/>
    <w:rsid w:val="006248B2"/>
    <w:rsid w:val="00625891"/>
    <w:rsid w:val="00626410"/>
    <w:rsid w:val="0062698C"/>
    <w:rsid w:val="006269D6"/>
    <w:rsid w:val="00627448"/>
    <w:rsid w:val="00627597"/>
    <w:rsid w:val="006275F0"/>
    <w:rsid w:val="006278A1"/>
    <w:rsid w:val="00627FF1"/>
    <w:rsid w:val="006303AB"/>
    <w:rsid w:val="00630D42"/>
    <w:rsid w:val="00630EF5"/>
    <w:rsid w:val="00631D00"/>
    <w:rsid w:val="00633F3C"/>
    <w:rsid w:val="00634033"/>
    <w:rsid w:val="00635418"/>
    <w:rsid w:val="00635D31"/>
    <w:rsid w:val="006360C9"/>
    <w:rsid w:val="00636609"/>
    <w:rsid w:val="00637800"/>
    <w:rsid w:val="00637AC7"/>
    <w:rsid w:val="00637E1F"/>
    <w:rsid w:val="00640262"/>
    <w:rsid w:val="00640B81"/>
    <w:rsid w:val="00640D80"/>
    <w:rsid w:val="0064148E"/>
    <w:rsid w:val="00642A87"/>
    <w:rsid w:val="00644A02"/>
    <w:rsid w:val="00644FBE"/>
    <w:rsid w:val="00647024"/>
    <w:rsid w:val="00647274"/>
    <w:rsid w:val="00647ECA"/>
    <w:rsid w:val="00651CE3"/>
    <w:rsid w:val="0065403A"/>
    <w:rsid w:val="0065452A"/>
    <w:rsid w:val="0065461C"/>
    <w:rsid w:val="00655766"/>
    <w:rsid w:val="006570B8"/>
    <w:rsid w:val="00657328"/>
    <w:rsid w:val="00657758"/>
    <w:rsid w:val="00657A55"/>
    <w:rsid w:val="00657F4F"/>
    <w:rsid w:val="00661E00"/>
    <w:rsid w:val="0066217B"/>
    <w:rsid w:val="006621BC"/>
    <w:rsid w:val="006623A5"/>
    <w:rsid w:val="00662AAF"/>
    <w:rsid w:val="00662DA0"/>
    <w:rsid w:val="00663182"/>
    <w:rsid w:val="00663483"/>
    <w:rsid w:val="006638D5"/>
    <w:rsid w:val="00663C7A"/>
    <w:rsid w:val="006654D2"/>
    <w:rsid w:val="00665582"/>
    <w:rsid w:val="00665D5C"/>
    <w:rsid w:val="006664F3"/>
    <w:rsid w:val="00667607"/>
    <w:rsid w:val="00667A8D"/>
    <w:rsid w:val="00673A2F"/>
    <w:rsid w:val="00673FDB"/>
    <w:rsid w:val="00674A05"/>
    <w:rsid w:val="00676CBC"/>
    <w:rsid w:val="00680925"/>
    <w:rsid w:val="006825C0"/>
    <w:rsid w:val="0068318F"/>
    <w:rsid w:val="00684429"/>
    <w:rsid w:val="00684E1B"/>
    <w:rsid w:val="00684E57"/>
    <w:rsid w:val="006858A4"/>
    <w:rsid w:val="00685BB9"/>
    <w:rsid w:val="0068616E"/>
    <w:rsid w:val="006863FE"/>
    <w:rsid w:val="00686A87"/>
    <w:rsid w:val="00686AFB"/>
    <w:rsid w:val="00686B8F"/>
    <w:rsid w:val="0068740E"/>
    <w:rsid w:val="00691905"/>
    <w:rsid w:val="00692557"/>
    <w:rsid w:val="00693083"/>
    <w:rsid w:val="00694383"/>
    <w:rsid w:val="00694508"/>
    <w:rsid w:val="00694E9E"/>
    <w:rsid w:val="006951E1"/>
    <w:rsid w:val="00697907"/>
    <w:rsid w:val="006A0AC0"/>
    <w:rsid w:val="006A0EAC"/>
    <w:rsid w:val="006A1C15"/>
    <w:rsid w:val="006A2E6E"/>
    <w:rsid w:val="006A2F0F"/>
    <w:rsid w:val="006A2FFF"/>
    <w:rsid w:val="006A332F"/>
    <w:rsid w:val="006A380E"/>
    <w:rsid w:val="006A429C"/>
    <w:rsid w:val="006A49D8"/>
    <w:rsid w:val="006A4C1D"/>
    <w:rsid w:val="006A6C7D"/>
    <w:rsid w:val="006B03C4"/>
    <w:rsid w:val="006B1A0B"/>
    <w:rsid w:val="006B21C2"/>
    <w:rsid w:val="006B2C67"/>
    <w:rsid w:val="006B34D2"/>
    <w:rsid w:val="006B3EDE"/>
    <w:rsid w:val="006B6AFA"/>
    <w:rsid w:val="006B7DE0"/>
    <w:rsid w:val="006C1FA9"/>
    <w:rsid w:val="006C20EE"/>
    <w:rsid w:val="006C214C"/>
    <w:rsid w:val="006C29ED"/>
    <w:rsid w:val="006C33FF"/>
    <w:rsid w:val="006C3B3D"/>
    <w:rsid w:val="006C496E"/>
    <w:rsid w:val="006C4D8C"/>
    <w:rsid w:val="006C7421"/>
    <w:rsid w:val="006D06ED"/>
    <w:rsid w:val="006D12D7"/>
    <w:rsid w:val="006D20E1"/>
    <w:rsid w:val="006D2CAE"/>
    <w:rsid w:val="006D3005"/>
    <w:rsid w:val="006D3293"/>
    <w:rsid w:val="006D3846"/>
    <w:rsid w:val="006D3C11"/>
    <w:rsid w:val="006D41E4"/>
    <w:rsid w:val="006D60E2"/>
    <w:rsid w:val="006D6AAD"/>
    <w:rsid w:val="006E01AF"/>
    <w:rsid w:val="006E0AE8"/>
    <w:rsid w:val="006E0FCA"/>
    <w:rsid w:val="006E3113"/>
    <w:rsid w:val="006E441E"/>
    <w:rsid w:val="006E4757"/>
    <w:rsid w:val="006E480A"/>
    <w:rsid w:val="006E58F3"/>
    <w:rsid w:val="006E6791"/>
    <w:rsid w:val="006E756C"/>
    <w:rsid w:val="006F084F"/>
    <w:rsid w:val="006F0976"/>
    <w:rsid w:val="006F2595"/>
    <w:rsid w:val="006F2895"/>
    <w:rsid w:val="006F38FA"/>
    <w:rsid w:val="006F4AC1"/>
    <w:rsid w:val="006F5CB8"/>
    <w:rsid w:val="006F5CCB"/>
    <w:rsid w:val="00701204"/>
    <w:rsid w:val="007025EC"/>
    <w:rsid w:val="007030C4"/>
    <w:rsid w:val="0070491C"/>
    <w:rsid w:val="00706765"/>
    <w:rsid w:val="00706DF7"/>
    <w:rsid w:val="00707DCB"/>
    <w:rsid w:val="00707EC6"/>
    <w:rsid w:val="00710865"/>
    <w:rsid w:val="00712753"/>
    <w:rsid w:val="00713107"/>
    <w:rsid w:val="00714655"/>
    <w:rsid w:val="0071511E"/>
    <w:rsid w:val="00715472"/>
    <w:rsid w:val="0071639D"/>
    <w:rsid w:val="00717397"/>
    <w:rsid w:val="00720B68"/>
    <w:rsid w:val="00722896"/>
    <w:rsid w:val="00722C3B"/>
    <w:rsid w:val="00722F75"/>
    <w:rsid w:val="00724689"/>
    <w:rsid w:val="007262C2"/>
    <w:rsid w:val="00726EE0"/>
    <w:rsid w:val="007271F5"/>
    <w:rsid w:val="00730FB6"/>
    <w:rsid w:val="00732730"/>
    <w:rsid w:val="00732B79"/>
    <w:rsid w:val="007344E5"/>
    <w:rsid w:val="00734B91"/>
    <w:rsid w:val="00734F52"/>
    <w:rsid w:val="00735902"/>
    <w:rsid w:val="00735B85"/>
    <w:rsid w:val="0073621F"/>
    <w:rsid w:val="0073637C"/>
    <w:rsid w:val="00736BBB"/>
    <w:rsid w:val="007404EE"/>
    <w:rsid w:val="00741F92"/>
    <w:rsid w:val="007424E8"/>
    <w:rsid w:val="0074295B"/>
    <w:rsid w:val="007433FA"/>
    <w:rsid w:val="007434A8"/>
    <w:rsid w:val="00746D67"/>
    <w:rsid w:val="00747958"/>
    <w:rsid w:val="00747EFA"/>
    <w:rsid w:val="00750637"/>
    <w:rsid w:val="00751A26"/>
    <w:rsid w:val="007528AC"/>
    <w:rsid w:val="007528BF"/>
    <w:rsid w:val="00752C79"/>
    <w:rsid w:val="00753A94"/>
    <w:rsid w:val="00753D9B"/>
    <w:rsid w:val="00754069"/>
    <w:rsid w:val="0075516C"/>
    <w:rsid w:val="00755AF1"/>
    <w:rsid w:val="00760926"/>
    <w:rsid w:val="007611FD"/>
    <w:rsid w:val="00761326"/>
    <w:rsid w:val="0076170B"/>
    <w:rsid w:val="00762FB1"/>
    <w:rsid w:val="00763AF2"/>
    <w:rsid w:val="00763F1D"/>
    <w:rsid w:val="007640CD"/>
    <w:rsid w:val="00764311"/>
    <w:rsid w:val="00764DE6"/>
    <w:rsid w:val="0076669A"/>
    <w:rsid w:val="0076684C"/>
    <w:rsid w:val="00766F56"/>
    <w:rsid w:val="00767524"/>
    <w:rsid w:val="00770092"/>
    <w:rsid w:val="00771F3E"/>
    <w:rsid w:val="007725EF"/>
    <w:rsid w:val="00773874"/>
    <w:rsid w:val="00774445"/>
    <w:rsid w:val="00775450"/>
    <w:rsid w:val="007757E3"/>
    <w:rsid w:val="00775C96"/>
    <w:rsid w:val="007761FE"/>
    <w:rsid w:val="0077664A"/>
    <w:rsid w:val="00776EB2"/>
    <w:rsid w:val="00776F34"/>
    <w:rsid w:val="007778AE"/>
    <w:rsid w:val="007801AC"/>
    <w:rsid w:val="00780E09"/>
    <w:rsid w:val="0078169F"/>
    <w:rsid w:val="0078171F"/>
    <w:rsid w:val="007828C1"/>
    <w:rsid w:val="00782929"/>
    <w:rsid w:val="00783AE1"/>
    <w:rsid w:val="00784390"/>
    <w:rsid w:val="00785413"/>
    <w:rsid w:val="0078681D"/>
    <w:rsid w:val="00787575"/>
    <w:rsid w:val="00787859"/>
    <w:rsid w:val="00787937"/>
    <w:rsid w:val="007929E1"/>
    <w:rsid w:val="0079518E"/>
    <w:rsid w:val="00795CBB"/>
    <w:rsid w:val="00795E48"/>
    <w:rsid w:val="00797AB9"/>
    <w:rsid w:val="007A04A2"/>
    <w:rsid w:val="007A0C57"/>
    <w:rsid w:val="007A17B6"/>
    <w:rsid w:val="007A2B7C"/>
    <w:rsid w:val="007A3A3C"/>
    <w:rsid w:val="007A406D"/>
    <w:rsid w:val="007A4BE3"/>
    <w:rsid w:val="007A69D3"/>
    <w:rsid w:val="007A7672"/>
    <w:rsid w:val="007B04A5"/>
    <w:rsid w:val="007B09BA"/>
    <w:rsid w:val="007B0DC2"/>
    <w:rsid w:val="007B3AB6"/>
    <w:rsid w:val="007B4104"/>
    <w:rsid w:val="007B4740"/>
    <w:rsid w:val="007B4B26"/>
    <w:rsid w:val="007B5584"/>
    <w:rsid w:val="007B6040"/>
    <w:rsid w:val="007B74A2"/>
    <w:rsid w:val="007B7BF5"/>
    <w:rsid w:val="007C0D3E"/>
    <w:rsid w:val="007C1B4A"/>
    <w:rsid w:val="007C3164"/>
    <w:rsid w:val="007C3283"/>
    <w:rsid w:val="007C3506"/>
    <w:rsid w:val="007C465A"/>
    <w:rsid w:val="007C4BAB"/>
    <w:rsid w:val="007C5022"/>
    <w:rsid w:val="007C5F3B"/>
    <w:rsid w:val="007C6074"/>
    <w:rsid w:val="007D12AD"/>
    <w:rsid w:val="007D186D"/>
    <w:rsid w:val="007D2E80"/>
    <w:rsid w:val="007D39C0"/>
    <w:rsid w:val="007D45AA"/>
    <w:rsid w:val="007D5488"/>
    <w:rsid w:val="007D575A"/>
    <w:rsid w:val="007D599A"/>
    <w:rsid w:val="007D624A"/>
    <w:rsid w:val="007D6282"/>
    <w:rsid w:val="007D645B"/>
    <w:rsid w:val="007D6606"/>
    <w:rsid w:val="007D6B81"/>
    <w:rsid w:val="007D7307"/>
    <w:rsid w:val="007D7A13"/>
    <w:rsid w:val="007E052B"/>
    <w:rsid w:val="007E10C5"/>
    <w:rsid w:val="007E3265"/>
    <w:rsid w:val="007E3E41"/>
    <w:rsid w:val="007E5583"/>
    <w:rsid w:val="007E626D"/>
    <w:rsid w:val="007E687E"/>
    <w:rsid w:val="007F120A"/>
    <w:rsid w:val="007F1231"/>
    <w:rsid w:val="007F1846"/>
    <w:rsid w:val="007F2A80"/>
    <w:rsid w:val="007F2BBF"/>
    <w:rsid w:val="007F49F6"/>
    <w:rsid w:val="007F60CD"/>
    <w:rsid w:val="007F63BE"/>
    <w:rsid w:val="007F676C"/>
    <w:rsid w:val="007F6885"/>
    <w:rsid w:val="007F690E"/>
    <w:rsid w:val="007F6B08"/>
    <w:rsid w:val="007F7EA3"/>
    <w:rsid w:val="00801265"/>
    <w:rsid w:val="008018DC"/>
    <w:rsid w:val="00802915"/>
    <w:rsid w:val="00802CA7"/>
    <w:rsid w:val="00802DAD"/>
    <w:rsid w:val="00802E6B"/>
    <w:rsid w:val="00803B1B"/>
    <w:rsid w:val="00803FA0"/>
    <w:rsid w:val="00803FEF"/>
    <w:rsid w:val="0080425B"/>
    <w:rsid w:val="00805F8D"/>
    <w:rsid w:val="008065E6"/>
    <w:rsid w:val="00806AD2"/>
    <w:rsid w:val="00806B86"/>
    <w:rsid w:val="00807870"/>
    <w:rsid w:val="008100F8"/>
    <w:rsid w:val="008105C8"/>
    <w:rsid w:val="00811D1E"/>
    <w:rsid w:val="00812A3D"/>
    <w:rsid w:val="008143A3"/>
    <w:rsid w:val="008143B3"/>
    <w:rsid w:val="00814A6B"/>
    <w:rsid w:val="0081501A"/>
    <w:rsid w:val="00815F76"/>
    <w:rsid w:val="008160D6"/>
    <w:rsid w:val="00817075"/>
    <w:rsid w:val="008170BC"/>
    <w:rsid w:val="008174E7"/>
    <w:rsid w:val="00817790"/>
    <w:rsid w:val="00817CB0"/>
    <w:rsid w:val="00821364"/>
    <w:rsid w:val="00822015"/>
    <w:rsid w:val="008249EA"/>
    <w:rsid w:val="00825072"/>
    <w:rsid w:val="00825511"/>
    <w:rsid w:val="00825C75"/>
    <w:rsid w:val="00827079"/>
    <w:rsid w:val="008270F1"/>
    <w:rsid w:val="00827508"/>
    <w:rsid w:val="008305BF"/>
    <w:rsid w:val="00830870"/>
    <w:rsid w:val="008312BF"/>
    <w:rsid w:val="008314AE"/>
    <w:rsid w:val="00831AF1"/>
    <w:rsid w:val="00832649"/>
    <w:rsid w:val="00833301"/>
    <w:rsid w:val="008343D5"/>
    <w:rsid w:val="008358A6"/>
    <w:rsid w:val="00835D34"/>
    <w:rsid w:val="008364EE"/>
    <w:rsid w:val="008379C9"/>
    <w:rsid w:val="0084059E"/>
    <w:rsid w:val="008410F1"/>
    <w:rsid w:val="008418B9"/>
    <w:rsid w:val="00841D8A"/>
    <w:rsid w:val="00842807"/>
    <w:rsid w:val="00842C43"/>
    <w:rsid w:val="00843721"/>
    <w:rsid w:val="008438EC"/>
    <w:rsid w:val="00844891"/>
    <w:rsid w:val="0084550B"/>
    <w:rsid w:val="00845992"/>
    <w:rsid w:val="00845B74"/>
    <w:rsid w:val="00845F79"/>
    <w:rsid w:val="008461D7"/>
    <w:rsid w:val="0084732A"/>
    <w:rsid w:val="008476B5"/>
    <w:rsid w:val="00850642"/>
    <w:rsid w:val="0085067E"/>
    <w:rsid w:val="008517B0"/>
    <w:rsid w:val="008523FB"/>
    <w:rsid w:val="00853689"/>
    <w:rsid w:val="00854B74"/>
    <w:rsid w:val="00854FEC"/>
    <w:rsid w:val="00855A38"/>
    <w:rsid w:val="00855D40"/>
    <w:rsid w:val="00855F9F"/>
    <w:rsid w:val="00856F0A"/>
    <w:rsid w:val="008576AE"/>
    <w:rsid w:val="00861248"/>
    <w:rsid w:val="008612EC"/>
    <w:rsid w:val="00861428"/>
    <w:rsid w:val="008636F2"/>
    <w:rsid w:val="008647EE"/>
    <w:rsid w:val="00864EBD"/>
    <w:rsid w:val="00865035"/>
    <w:rsid w:val="00865606"/>
    <w:rsid w:val="00865A71"/>
    <w:rsid w:val="00865AAB"/>
    <w:rsid w:val="008667EC"/>
    <w:rsid w:val="00867ADC"/>
    <w:rsid w:val="00870E1D"/>
    <w:rsid w:val="00872E21"/>
    <w:rsid w:val="008734B8"/>
    <w:rsid w:val="00873963"/>
    <w:rsid w:val="00873F4D"/>
    <w:rsid w:val="00874EF8"/>
    <w:rsid w:val="0087515F"/>
    <w:rsid w:val="00876121"/>
    <w:rsid w:val="0087622E"/>
    <w:rsid w:val="00882F15"/>
    <w:rsid w:val="008849A4"/>
    <w:rsid w:val="00886FD8"/>
    <w:rsid w:val="00887729"/>
    <w:rsid w:val="00887F77"/>
    <w:rsid w:val="00890A8E"/>
    <w:rsid w:val="008928AC"/>
    <w:rsid w:val="00892E39"/>
    <w:rsid w:val="008940AD"/>
    <w:rsid w:val="008959C5"/>
    <w:rsid w:val="00895D69"/>
    <w:rsid w:val="008966DC"/>
    <w:rsid w:val="008972ED"/>
    <w:rsid w:val="008978AB"/>
    <w:rsid w:val="008A0847"/>
    <w:rsid w:val="008A0BAB"/>
    <w:rsid w:val="008A1577"/>
    <w:rsid w:val="008A29DC"/>
    <w:rsid w:val="008A31D8"/>
    <w:rsid w:val="008A320A"/>
    <w:rsid w:val="008A40E1"/>
    <w:rsid w:val="008A4BC8"/>
    <w:rsid w:val="008A4CC2"/>
    <w:rsid w:val="008A4D85"/>
    <w:rsid w:val="008A79B4"/>
    <w:rsid w:val="008B11DF"/>
    <w:rsid w:val="008B1930"/>
    <w:rsid w:val="008B1E01"/>
    <w:rsid w:val="008B2B1C"/>
    <w:rsid w:val="008B2F14"/>
    <w:rsid w:val="008B314C"/>
    <w:rsid w:val="008B5EE1"/>
    <w:rsid w:val="008B688A"/>
    <w:rsid w:val="008B7919"/>
    <w:rsid w:val="008B7EBF"/>
    <w:rsid w:val="008C1BC7"/>
    <w:rsid w:val="008C3967"/>
    <w:rsid w:val="008C3F1D"/>
    <w:rsid w:val="008C5FDC"/>
    <w:rsid w:val="008C65C5"/>
    <w:rsid w:val="008C6F11"/>
    <w:rsid w:val="008C7B5B"/>
    <w:rsid w:val="008C7EFA"/>
    <w:rsid w:val="008D38F6"/>
    <w:rsid w:val="008D3949"/>
    <w:rsid w:val="008D3C47"/>
    <w:rsid w:val="008D4A67"/>
    <w:rsid w:val="008D5403"/>
    <w:rsid w:val="008D5912"/>
    <w:rsid w:val="008D633C"/>
    <w:rsid w:val="008D7EB5"/>
    <w:rsid w:val="008E1371"/>
    <w:rsid w:val="008E31BD"/>
    <w:rsid w:val="008E499F"/>
    <w:rsid w:val="008E5D4F"/>
    <w:rsid w:val="008E5DC4"/>
    <w:rsid w:val="008E64A6"/>
    <w:rsid w:val="008E68FE"/>
    <w:rsid w:val="008E69FF"/>
    <w:rsid w:val="008F1455"/>
    <w:rsid w:val="008F2F04"/>
    <w:rsid w:val="008F54EC"/>
    <w:rsid w:val="008F5D7C"/>
    <w:rsid w:val="008F5DAC"/>
    <w:rsid w:val="008F6CB6"/>
    <w:rsid w:val="008F755B"/>
    <w:rsid w:val="008F7B5A"/>
    <w:rsid w:val="008F7BD0"/>
    <w:rsid w:val="00901917"/>
    <w:rsid w:val="00902A17"/>
    <w:rsid w:val="00903A5E"/>
    <w:rsid w:val="00903BAA"/>
    <w:rsid w:val="00904B18"/>
    <w:rsid w:val="00904C95"/>
    <w:rsid w:val="00904CA1"/>
    <w:rsid w:val="009075B1"/>
    <w:rsid w:val="00907F13"/>
    <w:rsid w:val="00911589"/>
    <w:rsid w:val="009122BE"/>
    <w:rsid w:val="009131DE"/>
    <w:rsid w:val="0091518A"/>
    <w:rsid w:val="009153C0"/>
    <w:rsid w:val="0091738D"/>
    <w:rsid w:val="009215CB"/>
    <w:rsid w:val="00922B37"/>
    <w:rsid w:val="00924BC4"/>
    <w:rsid w:val="00925912"/>
    <w:rsid w:val="009260E8"/>
    <w:rsid w:val="009266D1"/>
    <w:rsid w:val="009329D9"/>
    <w:rsid w:val="00932FA1"/>
    <w:rsid w:val="00933217"/>
    <w:rsid w:val="0093452D"/>
    <w:rsid w:val="0093484A"/>
    <w:rsid w:val="00934DB7"/>
    <w:rsid w:val="009352CA"/>
    <w:rsid w:val="009355DB"/>
    <w:rsid w:val="0093657C"/>
    <w:rsid w:val="00936CE7"/>
    <w:rsid w:val="0093719B"/>
    <w:rsid w:val="00937501"/>
    <w:rsid w:val="00937CC5"/>
    <w:rsid w:val="00940558"/>
    <w:rsid w:val="00940598"/>
    <w:rsid w:val="00941138"/>
    <w:rsid w:val="0094243B"/>
    <w:rsid w:val="0094330B"/>
    <w:rsid w:val="00943C33"/>
    <w:rsid w:val="009444ED"/>
    <w:rsid w:val="00944C79"/>
    <w:rsid w:val="00945A36"/>
    <w:rsid w:val="009465D5"/>
    <w:rsid w:val="00946686"/>
    <w:rsid w:val="0094669D"/>
    <w:rsid w:val="00946DA1"/>
    <w:rsid w:val="00950AE8"/>
    <w:rsid w:val="00952D61"/>
    <w:rsid w:val="00954160"/>
    <w:rsid w:val="009541D4"/>
    <w:rsid w:val="0095729D"/>
    <w:rsid w:val="00957934"/>
    <w:rsid w:val="0096001B"/>
    <w:rsid w:val="009603A6"/>
    <w:rsid w:val="009606B5"/>
    <w:rsid w:val="0096076B"/>
    <w:rsid w:val="00960C4E"/>
    <w:rsid w:val="00963AAA"/>
    <w:rsid w:val="00964922"/>
    <w:rsid w:val="00965896"/>
    <w:rsid w:val="00966140"/>
    <w:rsid w:val="0096740E"/>
    <w:rsid w:val="009703C0"/>
    <w:rsid w:val="009704B4"/>
    <w:rsid w:val="00971A96"/>
    <w:rsid w:val="009755FB"/>
    <w:rsid w:val="009757BB"/>
    <w:rsid w:val="00975F70"/>
    <w:rsid w:val="00977313"/>
    <w:rsid w:val="009774AC"/>
    <w:rsid w:val="0097785F"/>
    <w:rsid w:val="00977AC0"/>
    <w:rsid w:val="00977C84"/>
    <w:rsid w:val="0098071E"/>
    <w:rsid w:val="00980969"/>
    <w:rsid w:val="00980C9A"/>
    <w:rsid w:val="0098115D"/>
    <w:rsid w:val="009813AC"/>
    <w:rsid w:val="00982015"/>
    <w:rsid w:val="00982B43"/>
    <w:rsid w:val="00983369"/>
    <w:rsid w:val="00983836"/>
    <w:rsid w:val="009843D2"/>
    <w:rsid w:val="009848D0"/>
    <w:rsid w:val="00984E73"/>
    <w:rsid w:val="0098577E"/>
    <w:rsid w:val="00985B9D"/>
    <w:rsid w:val="009861EB"/>
    <w:rsid w:val="009863E6"/>
    <w:rsid w:val="0099053B"/>
    <w:rsid w:val="00991410"/>
    <w:rsid w:val="00991480"/>
    <w:rsid w:val="00992093"/>
    <w:rsid w:val="00992894"/>
    <w:rsid w:val="00992C87"/>
    <w:rsid w:val="00992E4F"/>
    <w:rsid w:val="009934C9"/>
    <w:rsid w:val="00994006"/>
    <w:rsid w:val="009943BE"/>
    <w:rsid w:val="0099468B"/>
    <w:rsid w:val="00994C6B"/>
    <w:rsid w:val="00995169"/>
    <w:rsid w:val="00995916"/>
    <w:rsid w:val="00996471"/>
    <w:rsid w:val="009969C4"/>
    <w:rsid w:val="00996FE2"/>
    <w:rsid w:val="009A041B"/>
    <w:rsid w:val="009A172D"/>
    <w:rsid w:val="009A281C"/>
    <w:rsid w:val="009A2935"/>
    <w:rsid w:val="009A30DE"/>
    <w:rsid w:val="009A3393"/>
    <w:rsid w:val="009A3BB8"/>
    <w:rsid w:val="009A3EFD"/>
    <w:rsid w:val="009A5AF0"/>
    <w:rsid w:val="009A5D0C"/>
    <w:rsid w:val="009A752F"/>
    <w:rsid w:val="009A781A"/>
    <w:rsid w:val="009B0B2D"/>
    <w:rsid w:val="009B29CD"/>
    <w:rsid w:val="009B2D6E"/>
    <w:rsid w:val="009B3096"/>
    <w:rsid w:val="009B3E1C"/>
    <w:rsid w:val="009B4D6F"/>
    <w:rsid w:val="009B4FB6"/>
    <w:rsid w:val="009B744D"/>
    <w:rsid w:val="009B7878"/>
    <w:rsid w:val="009B78DB"/>
    <w:rsid w:val="009B7B48"/>
    <w:rsid w:val="009B7E42"/>
    <w:rsid w:val="009B7EC1"/>
    <w:rsid w:val="009C0B14"/>
    <w:rsid w:val="009C2A4B"/>
    <w:rsid w:val="009C43A2"/>
    <w:rsid w:val="009D023E"/>
    <w:rsid w:val="009D0482"/>
    <w:rsid w:val="009D2469"/>
    <w:rsid w:val="009D28E2"/>
    <w:rsid w:val="009D3B30"/>
    <w:rsid w:val="009D41D3"/>
    <w:rsid w:val="009D430E"/>
    <w:rsid w:val="009D4A6F"/>
    <w:rsid w:val="009D4BE1"/>
    <w:rsid w:val="009D52C5"/>
    <w:rsid w:val="009D5D1F"/>
    <w:rsid w:val="009D67D3"/>
    <w:rsid w:val="009E313E"/>
    <w:rsid w:val="009E79FF"/>
    <w:rsid w:val="009E7BC5"/>
    <w:rsid w:val="009F3AEC"/>
    <w:rsid w:val="009F3EFA"/>
    <w:rsid w:val="009F45C2"/>
    <w:rsid w:val="009F5747"/>
    <w:rsid w:val="009F5CA2"/>
    <w:rsid w:val="009F64E5"/>
    <w:rsid w:val="009F6B80"/>
    <w:rsid w:val="009F6D8F"/>
    <w:rsid w:val="009F7411"/>
    <w:rsid w:val="009F7927"/>
    <w:rsid w:val="009F7A93"/>
    <w:rsid w:val="00A0131E"/>
    <w:rsid w:val="00A027FA"/>
    <w:rsid w:val="00A028C1"/>
    <w:rsid w:val="00A02A1D"/>
    <w:rsid w:val="00A03703"/>
    <w:rsid w:val="00A037FC"/>
    <w:rsid w:val="00A04A18"/>
    <w:rsid w:val="00A04CDB"/>
    <w:rsid w:val="00A04DB5"/>
    <w:rsid w:val="00A051BF"/>
    <w:rsid w:val="00A059EA"/>
    <w:rsid w:val="00A06B37"/>
    <w:rsid w:val="00A129D1"/>
    <w:rsid w:val="00A12A8C"/>
    <w:rsid w:val="00A13AE7"/>
    <w:rsid w:val="00A14066"/>
    <w:rsid w:val="00A142E2"/>
    <w:rsid w:val="00A145C5"/>
    <w:rsid w:val="00A15A9D"/>
    <w:rsid w:val="00A16F45"/>
    <w:rsid w:val="00A175BE"/>
    <w:rsid w:val="00A21068"/>
    <w:rsid w:val="00A215FB"/>
    <w:rsid w:val="00A22580"/>
    <w:rsid w:val="00A22659"/>
    <w:rsid w:val="00A24064"/>
    <w:rsid w:val="00A24828"/>
    <w:rsid w:val="00A25302"/>
    <w:rsid w:val="00A253AD"/>
    <w:rsid w:val="00A26251"/>
    <w:rsid w:val="00A263EC"/>
    <w:rsid w:val="00A266F7"/>
    <w:rsid w:val="00A27394"/>
    <w:rsid w:val="00A30A08"/>
    <w:rsid w:val="00A31158"/>
    <w:rsid w:val="00A31857"/>
    <w:rsid w:val="00A31D21"/>
    <w:rsid w:val="00A32935"/>
    <w:rsid w:val="00A330FC"/>
    <w:rsid w:val="00A33693"/>
    <w:rsid w:val="00A351E6"/>
    <w:rsid w:val="00A355CB"/>
    <w:rsid w:val="00A35CE0"/>
    <w:rsid w:val="00A3627A"/>
    <w:rsid w:val="00A3627F"/>
    <w:rsid w:val="00A408D6"/>
    <w:rsid w:val="00A42811"/>
    <w:rsid w:val="00A42979"/>
    <w:rsid w:val="00A429E6"/>
    <w:rsid w:val="00A42D43"/>
    <w:rsid w:val="00A43349"/>
    <w:rsid w:val="00A44B61"/>
    <w:rsid w:val="00A45230"/>
    <w:rsid w:val="00A45667"/>
    <w:rsid w:val="00A45C32"/>
    <w:rsid w:val="00A45FE5"/>
    <w:rsid w:val="00A46284"/>
    <w:rsid w:val="00A46516"/>
    <w:rsid w:val="00A47972"/>
    <w:rsid w:val="00A5120D"/>
    <w:rsid w:val="00A53885"/>
    <w:rsid w:val="00A54DA1"/>
    <w:rsid w:val="00A55DF9"/>
    <w:rsid w:val="00A560FB"/>
    <w:rsid w:val="00A56504"/>
    <w:rsid w:val="00A57F83"/>
    <w:rsid w:val="00A60049"/>
    <w:rsid w:val="00A601E0"/>
    <w:rsid w:val="00A60F5A"/>
    <w:rsid w:val="00A6136E"/>
    <w:rsid w:val="00A61435"/>
    <w:rsid w:val="00A616FE"/>
    <w:rsid w:val="00A6181F"/>
    <w:rsid w:val="00A638F2"/>
    <w:rsid w:val="00A63D85"/>
    <w:rsid w:val="00A6498D"/>
    <w:rsid w:val="00A674EF"/>
    <w:rsid w:val="00A709A7"/>
    <w:rsid w:val="00A70A9D"/>
    <w:rsid w:val="00A71253"/>
    <w:rsid w:val="00A71439"/>
    <w:rsid w:val="00A71C59"/>
    <w:rsid w:val="00A73EC7"/>
    <w:rsid w:val="00A742EC"/>
    <w:rsid w:val="00A74D83"/>
    <w:rsid w:val="00A7505C"/>
    <w:rsid w:val="00A753DC"/>
    <w:rsid w:val="00A75455"/>
    <w:rsid w:val="00A7602E"/>
    <w:rsid w:val="00A768DE"/>
    <w:rsid w:val="00A76E0F"/>
    <w:rsid w:val="00A76FEF"/>
    <w:rsid w:val="00A77B13"/>
    <w:rsid w:val="00A77CA0"/>
    <w:rsid w:val="00A80EEC"/>
    <w:rsid w:val="00A8177A"/>
    <w:rsid w:val="00A8226D"/>
    <w:rsid w:val="00A828E7"/>
    <w:rsid w:val="00A83097"/>
    <w:rsid w:val="00A830AC"/>
    <w:rsid w:val="00A84047"/>
    <w:rsid w:val="00A84051"/>
    <w:rsid w:val="00A84F58"/>
    <w:rsid w:val="00A851AD"/>
    <w:rsid w:val="00A85BB7"/>
    <w:rsid w:val="00A86B2B"/>
    <w:rsid w:val="00A87F92"/>
    <w:rsid w:val="00A9083C"/>
    <w:rsid w:val="00A90DF0"/>
    <w:rsid w:val="00A91BFC"/>
    <w:rsid w:val="00A92572"/>
    <w:rsid w:val="00A92579"/>
    <w:rsid w:val="00A92EDA"/>
    <w:rsid w:val="00A939F3"/>
    <w:rsid w:val="00A93FD3"/>
    <w:rsid w:val="00A943EE"/>
    <w:rsid w:val="00A94BD7"/>
    <w:rsid w:val="00A964D2"/>
    <w:rsid w:val="00AA02C5"/>
    <w:rsid w:val="00AA06DB"/>
    <w:rsid w:val="00AA1773"/>
    <w:rsid w:val="00AA1BAF"/>
    <w:rsid w:val="00AA2152"/>
    <w:rsid w:val="00AA3020"/>
    <w:rsid w:val="00AA3B26"/>
    <w:rsid w:val="00AA3CC7"/>
    <w:rsid w:val="00AA40DB"/>
    <w:rsid w:val="00AA5179"/>
    <w:rsid w:val="00AA5DDC"/>
    <w:rsid w:val="00AA61AF"/>
    <w:rsid w:val="00AA707C"/>
    <w:rsid w:val="00AA7D0D"/>
    <w:rsid w:val="00AA7DF3"/>
    <w:rsid w:val="00AB0513"/>
    <w:rsid w:val="00AB1266"/>
    <w:rsid w:val="00AB171B"/>
    <w:rsid w:val="00AB2AC1"/>
    <w:rsid w:val="00AB2B79"/>
    <w:rsid w:val="00AB31D1"/>
    <w:rsid w:val="00AB348C"/>
    <w:rsid w:val="00AB362A"/>
    <w:rsid w:val="00AB415A"/>
    <w:rsid w:val="00AB547D"/>
    <w:rsid w:val="00AC0FAF"/>
    <w:rsid w:val="00AC2517"/>
    <w:rsid w:val="00AC3104"/>
    <w:rsid w:val="00AC3593"/>
    <w:rsid w:val="00AC3C9E"/>
    <w:rsid w:val="00AC422A"/>
    <w:rsid w:val="00AC43EB"/>
    <w:rsid w:val="00AC61E8"/>
    <w:rsid w:val="00AC649E"/>
    <w:rsid w:val="00AC6D1D"/>
    <w:rsid w:val="00AC6E66"/>
    <w:rsid w:val="00AC7C8C"/>
    <w:rsid w:val="00AD010D"/>
    <w:rsid w:val="00AD0C51"/>
    <w:rsid w:val="00AD0DFF"/>
    <w:rsid w:val="00AD14B3"/>
    <w:rsid w:val="00AD3331"/>
    <w:rsid w:val="00AD3E78"/>
    <w:rsid w:val="00AD44AD"/>
    <w:rsid w:val="00AD5887"/>
    <w:rsid w:val="00AD596A"/>
    <w:rsid w:val="00AD6F9A"/>
    <w:rsid w:val="00AD735B"/>
    <w:rsid w:val="00AD796E"/>
    <w:rsid w:val="00AE05BD"/>
    <w:rsid w:val="00AE18A2"/>
    <w:rsid w:val="00AE1D35"/>
    <w:rsid w:val="00AE1F65"/>
    <w:rsid w:val="00AE2217"/>
    <w:rsid w:val="00AE3BD7"/>
    <w:rsid w:val="00AE4F56"/>
    <w:rsid w:val="00AE550C"/>
    <w:rsid w:val="00AE62C7"/>
    <w:rsid w:val="00AE6BDA"/>
    <w:rsid w:val="00AF12C9"/>
    <w:rsid w:val="00AF1442"/>
    <w:rsid w:val="00AF176F"/>
    <w:rsid w:val="00AF1EE8"/>
    <w:rsid w:val="00AF2499"/>
    <w:rsid w:val="00AF2E57"/>
    <w:rsid w:val="00AF3A24"/>
    <w:rsid w:val="00AF44E1"/>
    <w:rsid w:val="00AF4C6F"/>
    <w:rsid w:val="00AF575B"/>
    <w:rsid w:val="00AF5795"/>
    <w:rsid w:val="00AF57F1"/>
    <w:rsid w:val="00AF65DF"/>
    <w:rsid w:val="00AF6602"/>
    <w:rsid w:val="00AF7952"/>
    <w:rsid w:val="00B00453"/>
    <w:rsid w:val="00B00534"/>
    <w:rsid w:val="00B01C12"/>
    <w:rsid w:val="00B0244D"/>
    <w:rsid w:val="00B0643C"/>
    <w:rsid w:val="00B067FA"/>
    <w:rsid w:val="00B06EAC"/>
    <w:rsid w:val="00B07199"/>
    <w:rsid w:val="00B0744B"/>
    <w:rsid w:val="00B07756"/>
    <w:rsid w:val="00B11342"/>
    <w:rsid w:val="00B12BC4"/>
    <w:rsid w:val="00B12C81"/>
    <w:rsid w:val="00B1387A"/>
    <w:rsid w:val="00B13889"/>
    <w:rsid w:val="00B13E29"/>
    <w:rsid w:val="00B1524A"/>
    <w:rsid w:val="00B15422"/>
    <w:rsid w:val="00B15DB5"/>
    <w:rsid w:val="00B17851"/>
    <w:rsid w:val="00B20A46"/>
    <w:rsid w:val="00B20C11"/>
    <w:rsid w:val="00B20CE9"/>
    <w:rsid w:val="00B21786"/>
    <w:rsid w:val="00B219FD"/>
    <w:rsid w:val="00B22634"/>
    <w:rsid w:val="00B24C85"/>
    <w:rsid w:val="00B2586A"/>
    <w:rsid w:val="00B2596D"/>
    <w:rsid w:val="00B2687D"/>
    <w:rsid w:val="00B26E71"/>
    <w:rsid w:val="00B270A8"/>
    <w:rsid w:val="00B279C2"/>
    <w:rsid w:val="00B3095A"/>
    <w:rsid w:val="00B3205A"/>
    <w:rsid w:val="00B330BE"/>
    <w:rsid w:val="00B338CA"/>
    <w:rsid w:val="00B34597"/>
    <w:rsid w:val="00B37664"/>
    <w:rsid w:val="00B401FB"/>
    <w:rsid w:val="00B408AA"/>
    <w:rsid w:val="00B41489"/>
    <w:rsid w:val="00B414BD"/>
    <w:rsid w:val="00B427B7"/>
    <w:rsid w:val="00B431F0"/>
    <w:rsid w:val="00B433AF"/>
    <w:rsid w:val="00B455B9"/>
    <w:rsid w:val="00B45C9F"/>
    <w:rsid w:val="00B45F77"/>
    <w:rsid w:val="00B477E3"/>
    <w:rsid w:val="00B47AA3"/>
    <w:rsid w:val="00B5123E"/>
    <w:rsid w:val="00B51625"/>
    <w:rsid w:val="00B52B8D"/>
    <w:rsid w:val="00B52E3E"/>
    <w:rsid w:val="00B5323D"/>
    <w:rsid w:val="00B532AE"/>
    <w:rsid w:val="00B55280"/>
    <w:rsid w:val="00B55504"/>
    <w:rsid w:val="00B55F63"/>
    <w:rsid w:val="00B5624F"/>
    <w:rsid w:val="00B56335"/>
    <w:rsid w:val="00B56B93"/>
    <w:rsid w:val="00B56DE2"/>
    <w:rsid w:val="00B57071"/>
    <w:rsid w:val="00B570E8"/>
    <w:rsid w:val="00B574B4"/>
    <w:rsid w:val="00B579F4"/>
    <w:rsid w:val="00B601ED"/>
    <w:rsid w:val="00B60647"/>
    <w:rsid w:val="00B60683"/>
    <w:rsid w:val="00B61095"/>
    <w:rsid w:val="00B64283"/>
    <w:rsid w:val="00B653ED"/>
    <w:rsid w:val="00B65539"/>
    <w:rsid w:val="00B66B83"/>
    <w:rsid w:val="00B70B61"/>
    <w:rsid w:val="00B715E0"/>
    <w:rsid w:val="00B719FC"/>
    <w:rsid w:val="00B72D5B"/>
    <w:rsid w:val="00B730A9"/>
    <w:rsid w:val="00B754A4"/>
    <w:rsid w:val="00B75CDA"/>
    <w:rsid w:val="00B760B3"/>
    <w:rsid w:val="00B773F8"/>
    <w:rsid w:val="00B806D1"/>
    <w:rsid w:val="00B80E38"/>
    <w:rsid w:val="00B817D0"/>
    <w:rsid w:val="00B81C3E"/>
    <w:rsid w:val="00B838B3"/>
    <w:rsid w:val="00B839D6"/>
    <w:rsid w:val="00B857A4"/>
    <w:rsid w:val="00B8711B"/>
    <w:rsid w:val="00B871AC"/>
    <w:rsid w:val="00B876A4"/>
    <w:rsid w:val="00B91D34"/>
    <w:rsid w:val="00B9367A"/>
    <w:rsid w:val="00B93963"/>
    <w:rsid w:val="00B969F0"/>
    <w:rsid w:val="00B96DCC"/>
    <w:rsid w:val="00BA017E"/>
    <w:rsid w:val="00BA0CD9"/>
    <w:rsid w:val="00BA15FE"/>
    <w:rsid w:val="00BA1E5D"/>
    <w:rsid w:val="00BA1EB4"/>
    <w:rsid w:val="00BA26EF"/>
    <w:rsid w:val="00BA7B7C"/>
    <w:rsid w:val="00BB010B"/>
    <w:rsid w:val="00BB1ACD"/>
    <w:rsid w:val="00BB1CF7"/>
    <w:rsid w:val="00BB2B42"/>
    <w:rsid w:val="00BB3C52"/>
    <w:rsid w:val="00BB40C2"/>
    <w:rsid w:val="00BB45A5"/>
    <w:rsid w:val="00BB592A"/>
    <w:rsid w:val="00BB7E46"/>
    <w:rsid w:val="00BC0148"/>
    <w:rsid w:val="00BC0A02"/>
    <w:rsid w:val="00BC0C43"/>
    <w:rsid w:val="00BC1217"/>
    <w:rsid w:val="00BC2946"/>
    <w:rsid w:val="00BC3681"/>
    <w:rsid w:val="00BC3CA9"/>
    <w:rsid w:val="00BC52CD"/>
    <w:rsid w:val="00BC5515"/>
    <w:rsid w:val="00BC57E9"/>
    <w:rsid w:val="00BC63C7"/>
    <w:rsid w:val="00BC6725"/>
    <w:rsid w:val="00BC68E0"/>
    <w:rsid w:val="00BD0E03"/>
    <w:rsid w:val="00BD0E99"/>
    <w:rsid w:val="00BD104F"/>
    <w:rsid w:val="00BD2665"/>
    <w:rsid w:val="00BD29DD"/>
    <w:rsid w:val="00BD2C92"/>
    <w:rsid w:val="00BD3301"/>
    <w:rsid w:val="00BD41D7"/>
    <w:rsid w:val="00BD4505"/>
    <w:rsid w:val="00BD45F0"/>
    <w:rsid w:val="00BD4820"/>
    <w:rsid w:val="00BD541B"/>
    <w:rsid w:val="00BD5AC3"/>
    <w:rsid w:val="00BD68B7"/>
    <w:rsid w:val="00BD7BDD"/>
    <w:rsid w:val="00BE0CC0"/>
    <w:rsid w:val="00BE1E48"/>
    <w:rsid w:val="00BE25A4"/>
    <w:rsid w:val="00BE513D"/>
    <w:rsid w:val="00BE6356"/>
    <w:rsid w:val="00BE7650"/>
    <w:rsid w:val="00BE7979"/>
    <w:rsid w:val="00BF05B6"/>
    <w:rsid w:val="00BF1D4E"/>
    <w:rsid w:val="00BF38BB"/>
    <w:rsid w:val="00BF4C23"/>
    <w:rsid w:val="00BF4D7E"/>
    <w:rsid w:val="00BF4F0F"/>
    <w:rsid w:val="00BF4FFE"/>
    <w:rsid w:val="00BF6333"/>
    <w:rsid w:val="00BF653E"/>
    <w:rsid w:val="00BF6B70"/>
    <w:rsid w:val="00BF75A8"/>
    <w:rsid w:val="00BF7892"/>
    <w:rsid w:val="00BF7D50"/>
    <w:rsid w:val="00BF7FAD"/>
    <w:rsid w:val="00C0045C"/>
    <w:rsid w:val="00C01C5C"/>
    <w:rsid w:val="00C04097"/>
    <w:rsid w:val="00C044BB"/>
    <w:rsid w:val="00C054B5"/>
    <w:rsid w:val="00C055AE"/>
    <w:rsid w:val="00C06E80"/>
    <w:rsid w:val="00C073B5"/>
    <w:rsid w:val="00C103C8"/>
    <w:rsid w:val="00C10FDF"/>
    <w:rsid w:val="00C12158"/>
    <w:rsid w:val="00C13A48"/>
    <w:rsid w:val="00C13E6D"/>
    <w:rsid w:val="00C154D0"/>
    <w:rsid w:val="00C15B16"/>
    <w:rsid w:val="00C16D5F"/>
    <w:rsid w:val="00C16F10"/>
    <w:rsid w:val="00C17B91"/>
    <w:rsid w:val="00C20A0A"/>
    <w:rsid w:val="00C214B4"/>
    <w:rsid w:val="00C21A86"/>
    <w:rsid w:val="00C22055"/>
    <w:rsid w:val="00C236C8"/>
    <w:rsid w:val="00C23EE1"/>
    <w:rsid w:val="00C23EFA"/>
    <w:rsid w:val="00C23FBB"/>
    <w:rsid w:val="00C2580B"/>
    <w:rsid w:val="00C265C9"/>
    <w:rsid w:val="00C26921"/>
    <w:rsid w:val="00C26D08"/>
    <w:rsid w:val="00C30936"/>
    <w:rsid w:val="00C30A71"/>
    <w:rsid w:val="00C30FD1"/>
    <w:rsid w:val="00C3297B"/>
    <w:rsid w:val="00C32ED8"/>
    <w:rsid w:val="00C33084"/>
    <w:rsid w:val="00C33CEA"/>
    <w:rsid w:val="00C3484D"/>
    <w:rsid w:val="00C35676"/>
    <w:rsid w:val="00C403B5"/>
    <w:rsid w:val="00C40416"/>
    <w:rsid w:val="00C408ED"/>
    <w:rsid w:val="00C40CFB"/>
    <w:rsid w:val="00C420DE"/>
    <w:rsid w:val="00C42C0D"/>
    <w:rsid w:val="00C430F3"/>
    <w:rsid w:val="00C43E0C"/>
    <w:rsid w:val="00C44572"/>
    <w:rsid w:val="00C47B0C"/>
    <w:rsid w:val="00C5006B"/>
    <w:rsid w:val="00C50707"/>
    <w:rsid w:val="00C513C3"/>
    <w:rsid w:val="00C5377A"/>
    <w:rsid w:val="00C53EE1"/>
    <w:rsid w:val="00C5496B"/>
    <w:rsid w:val="00C558A8"/>
    <w:rsid w:val="00C55D03"/>
    <w:rsid w:val="00C568C7"/>
    <w:rsid w:val="00C57639"/>
    <w:rsid w:val="00C6090F"/>
    <w:rsid w:val="00C6449E"/>
    <w:rsid w:val="00C65A5E"/>
    <w:rsid w:val="00C65DC2"/>
    <w:rsid w:val="00C674D1"/>
    <w:rsid w:val="00C67FAA"/>
    <w:rsid w:val="00C70B33"/>
    <w:rsid w:val="00C71126"/>
    <w:rsid w:val="00C72E75"/>
    <w:rsid w:val="00C74073"/>
    <w:rsid w:val="00C76A96"/>
    <w:rsid w:val="00C7774F"/>
    <w:rsid w:val="00C834AA"/>
    <w:rsid w:val="00C83750"/>
    <w:rsid w:val="00C86600"/>
    <w:rsid w:val="00C86903"/>
    <w:rsid w:val="00C871D8"/>
    <w:rsid w:val="00C872D5"/>
    <w:rsid w:val="00C87BB5"/>
    <w:rsid w:val="00C91183"/>
    <w:rsid w:val="00C91A8A"/>
    <w:rsid w:val="00C926C8"/>
    <w:rsid w:val="00C9314D"/>
    <w:rsid w:val="00C93942"/>
    <w:rsid w:val="00C93AD6"/>
    <w:rsid w:val="00C93FFF"/>
    <w:rsid w:val="00C94121"/>
    <w:rsid w:val="00C95F67"/>
    <w:rsid w:val="00C97F56"/>
    <w:rsid w:val="00CA124D"/>
    <w:rsid w:val="00CA1918"/>
    <w:rsid w:val="00CA1C13"/>
    <w:rsid w:val="00CA212B"/>
    <w:rsid w:val="00CA28D9"/>
    <w:rsid w:val="00CA2B9F"/>
    <w:rsid w:val="00CA395F"/>
    <w:rsid w:val="00CA460A"/>
    <w:rsid w:val="00CA4D57"/>
    <w:rsid w:val="00CA6023"/>
    <w:rsid w:val="00CA6D13"/>
    <w:rsid w:val="00CA7122"/>
    <w:rsid w:val="00CA7A15"/>
    <w:rsid w:val="00CA7DE6"/>
    <w:rsid w:val="00CB044A"/>
    <w:rsid w:val="00CB15E9"/>
    <w:rsid w:val="00CB1F56"/>
    <w:rsid w:val="00CB4557"/>
    <w:rsid w:val="00CB5436"/>
    <w:rsid w:val="00CB5958"/>
    <w:rsid w:val="00CB77FF"/>
    <w:rsid w:val="00CC06ED"/>
    <w:rsid w:val="00CC0BD3"/>
    <w:rsid w:val="00CC0BF2"/>
    <w:rsid w:val="00CC14CD"/>
    <w:rsid w:val="00CC1B47"/>
    <w:rsid w:val="00CC2403"/>
    <w:rsid w:val="00CC2489"/>
    <w:rsid w:val="00CC2C9F"/>
    <w:rsid w:val="00CC3C9D"/>
    <w:rsid w:val="00CC3D04"/>
    <w:rsid w:val="00CC3DD6"/>
    <w:rsid w:val="00CC3E9C"/>
    <w:rsid w:val="00CC40E2"/>
    <w:rsid w:val="00CC428E"/>
    <w:rsid w:val="00CC4B82"/>
    <w:rsid w:val="00CC6E95"/>
    <w:rsid w:val="00CC7956"/>
    <w:rsid w:val="00CD1B73"/>
    <w:rsid w:val="00CD2ABD"/>
    <w:rsid w:val="00CD2D50"/>
    <w:rsid w:val="00CD3CCA"/>
    <w:rsid w:val="00CD4C50"/>
    <w:rsid w:val="00CD51B4"/>
    <w:rsid w:val="00CD6AF9"/>
    <w:rsid w:val="00CD71CA"/>
    <w:rsid w:val="00CD72D4"/>
    <w:rsid w:val="00CE0A9A"/>
    <w:rsid w:val="00CE1260"/>
    <w:rsid w:val="00CE136C"/>
    <w:rsid w:val="00CE177B"/>
    <w:rsid w:val="00CE1FAC"/>
    <w:rsid w:val="00CE3921"/>
    <w:rsid w:val="00CE45DA"/>
    <w:rsid w:val="00CE51CE"/>
    <w:rsid w:val="00CE739C"/>
    <w:rsid w:val="00CE7D23"/>
    <w:rsid w:val="00CF00DB"/>
    <w:rsid w:val="00CF01BF"/>
    <w:rsid w:val="00CF105C"/>
    <w:rsid w:val="00CF265D"/>
    <w:rsid w:val="00CF2EF0"/>
    <w:rsid w:val="00CF3819"/>
    <w:rsid w:val="00CF3F9F"/>
    <w:rsid w:val="00CF407D"/>
    <w:rsid w:val="00CF47F6"/>
    <w:rsid w:val="00CF5415"/>
    <w:rsid w:val="00CF5EA8"/>
    <w:rsid w:val="00CF60EE"/>
    <w:rsid w:val="00CF63E9"/>
    <w:rsid w:val="00D01500"/>
    <w:rsid w:val="00D01BF6"/>
    <w:rsid w:val="00D026A7"/>
    <w:rsid w:val="00D02BD8"/>
    <w:rsid w:val="00D03C34"/>
    <w:rsid w:val="00D044A7"/>
    <w:rsid w:val="00D045CB"/>
    <w:rsid w:val="00D05349"/>
    <w:rsid w:val="00D06429"/>
    <w:rsid w:val="00D070DB"/>
    <w:rsid w:val="00D07544"/>
    <w:rsid w:val="00D07F8D"/>
    <w:rsid w:val="00D104E8"/>
    <w:rsid w:val="00D1217C"/>
    <w:rsid w:val="00D1231F"/>
    <w:rsid w:val="00D1353E"/>
    <w:rsid w:val="00D13F35"/>
    <w:rsid w:val="00D145E4"/>
    <w:rsid w:val="00D14A55"/>
    <w:rsid w:val="00D15BF9"/>
    <w:rsid w:val="00D15C92"/>
    <w:rsid w:val="00D162D2"/>
    <w:rsid w:val="00D163B0"/>
    <w:rsid w:val="00D1675E"/>
    <w:rsid w:val="00D173D3"/>
    <w:rsid w:val="00D177EB"/>
    <w:rsid w:val="00D209BA"/>
    <w:rsid w:val="00D20AE0"/>
    <w:rsid w:val="00D21AEF"/>
    <w:rsid w:val="00D22323"/>
    <w:rsid w:val="00D22B4B"/>
    <w:rsid w:val="00D231CC"/>
    <w:rsid w:val="00D239F0"/>
    <w:rsid w:val="00D27E7D"/>
    <w:rsid w:val="00D30B9F"/>
    <w:rsid w:val="00D30F61"/>
    <w:rsid w:val="00D31900"/>
    <w:rsid w:val="00D31957"/>
    <w:rsid w:val="00D32A00"/>
    <w:rsid w:val="00D33C2E"/>
    <w:rsid w:val="00D353E6"/>
    <w:rsid w:val="00D36932"/>
    <w:rsid w:val="00D36D66"/>
    <w:rsid w:val="00D37E3D"/>
    <w:rsid w:val="00D401E6"/>
    <w:rsid w:val="00D40216"/>
    <w:rsid w:val="00D408AC"/>
    <w:rsid w:val="00D41C6C"/>
    <w:rsid w:val="00D42132"/>
    <w:rsid w:val="00D421CE"/>
    <w:rsid w:val="00D4645A"/>
    <w:rsid w:val="00D46ABF"/>
    <w:rsid w:val="00D47C63"/>
    <w:rsid w:val="00D50563"/>
    <w:rsid w:val="00D51901"/>
    <w:rsid w:val="00D51A0B"/>
    <w:rsid w:val="00D51A1A"/>
    <w:rsid w:val="00D51E15"/>
    <w:rsid w:val="00D52154"/>
    <w:rsid w:val="00D5224D"/>
    <w:rsid w:val="00D53746"/>
    <w:rsid w:val="00D53C5D"/>
    <w:rsid w:val="00D564F5"/>
    <w:rsid w:val="00D56748"/>
    <w:rsid w:val="00D56A3D"/>
    <w:rsid w:val="00D56FFB"/>
    <w:rsid w:val="00D619E1"/>
    <w:rsid w:val="00D62123"/>
    <w:rsid w:val="00D64AD4"/>
    <w:rsid w:val="00D656F7"/>
    <w:rsid w:val="00D66455"/>
    <w:rsid w:val="00D66983"/>
    <w:rsid w:val="00D678AB"/>
    <w:rsid w:val="00D67B17"/>
    <w:rsid w:val="00D71271"/>
    <w:rsid w:val="00D713E0"/>
    <w:rsid w:val="00D7149B"/>
    <w:rsid w:val="00D7167D"/>
    <w:rsid w:val="00D71D25"/>
    <w:rsid w:val="00D7203A"/>
    <w:rsid w:val="00D72457"/>
    <w:rsid w:val="00D733C3"/>
    <w:rsid w:val="00D73D03"/>
    <w:rsid w:val="00D75478"/>
    <w:rsid w:val="00D76C53"/>
    <w:rsid w:val="00D777DF"/>
    <w:rsid w:val="00D80FAF"/>
    <w:rsid w:val="00D81024"/>
    <w:rsid w:val="00D819D3"/>
    <w:rsid w:val="00D81FCE"/>
    <w:rsid w:val="00D83248"/>
    <w:rsid w:val="00D84EFE"/>
    <w:rsid w:val="00D866B2"/>
    <w:rsid w:val="00D868CD"/>
    <w:rsid w:val="00D87BD5"/>
    <w:rsid w:val="00D87F0A"/>
    <w:rsid w:val="00D90BC3"/>
    <w:rsid w:val="00D92196"/>
    <w:rsid w:val="00D9250E"/>
    <w:rsid w:val="00D927B4"/>
    <w:rsid w:val="00D9444E"/>
    <w:rsid w:val="00D9452F"/>
    <w:rsid w:val="00D95CCB"/>
    <w:rsid w:val="00D9633E"/>
    <w:rsid w:val="00D97A37"/>
    <w:rsid w:val="00DA0201"/>
    <w:rsid w:val="00DA11BD"/>
    <w:rsid w:val="00DA14A6"/>
    <w:rsid w:val="00DA1BFA"/>
    <w:rsid w:val="00DA2AF6"/>
    <w:rsid w:val="00DA41D1"/>
    <w:rsid w:val="00DA5117"/>
    <w:rsid w:val="00DA5C7F"/>
    <w:rsid w:val="00DA6334"/>
    <w:rsid w:val="00DA6D06"/>
    <w:rsid w:val="00DA7726"/>
    <w:rsid w:val="00DA772D"/>
    <w:rsid w:val="00DB0741"/>
    <w:rsid w:val="00DB196B"/>
    <w:rsid w:val="00DB2EE1"/>
    <w:rsid w:val="00DB40A9"/>
    <w:rsid w:val="00DB44D0"/>
    <w:rsid w:val="00DB4B67"/>
    <w:rsid w:val="00DB52CD"/>
    <w:rsid w:val="00DB58EC"/>
    <w:rsid w:val="00DB7312"/>
    <w:rsid w:val="00DB780A"/>
    <w:rsid w:val="00DC0CC3"/>
    <w:rsid w:val="00DC15E6"/>
    <w:rsid w:val="00DC40C9"/>
    <w:rsid w:val="00DC4146"/>
    <w:rsid w:val="00DC5F2A"/>
    <w:rsid w:val="00DC6392"/>
    <w:rsid w:val="00DC6E99"/>
    <w:rsid w:val="00DC7679"/>
    <w:rsid w:val="00DC77FB"/>
    <w:rsid w:val="00DD00F0"/>
    <w:rsid w:val="00DD028C"/>
    <w:rsid w:val="00DD14DA"/>
    <w:rsid w:val="00DD296A"/>
    <w:rsid w:val="00DD39E5"/>
    <w:rsid w:val="00DD3D78"/>
    <w:rsid w:val="00DD6418"/>
    <w:rsid w:val="00DD7254"/>
    <w:rsid w:val="00DD7A6E"/>
    <w:rsid w:val="00DE11B0"/>
    <w:rsid w:val="00DE12CF"/>
    <w:rsid w:val="00DE1344"/>
    <w:rsid w:val="00DE1404"/>
    <w:rsid w:val="00DE168F"/>
    <w:rsid w:val="00DE1B13"/>
    <w:rsid w:val="00DE1EA2"/>
    <w:rsid w:val="00DE30F4"/>
    <w:rsid w:val="00DE3AAC"/>
    <w:rsid w:val="00DE3AC8"/>
    <w:rsid w:val="00DE400C"/>
    <w:rsid w:val="00DE419A"/>
    <w:rsid w:val="00DE4769"/>
    <w:rsid w:val="00DE4E59"/>
    <w:rsid w:val="00DE58AE"/>
    <w:rsid w:val="00DE5FD3"/>
    <w:rsid w:val="00DE75C5"/>
    <w:rsid w:val="00DE7799"/>
    <w:rsid w:val="00DF1B6C"/>
    <w:rsid w:val="00DF200F"/>
    <w:rsid w:val="00DF2B45"/>
    <w:rsid w:val="00DF31A1"/>
    <w:rsid w:val="00DF327C"/>
    <w:rsid w:val="00DF4A27"/>
    <w:rsid w:val="00DF4A8E"/>
    <w:rsid w:val="00DF5374"/>
    <w:rsid w:val="00DF58C7"/>
    <w:rsid w:val="00DF6643"/>
    <w:rsid w:val="00DF6886"/>
    <w:rsid w:val="00DF7510"/>
    <w:rsid w:val="00DF7F43"/>
    <w:rsid w:val="00E015D5"/>
    <w:rsid w:val="00E01882"/>
    <w:rsid w:val="00E034D7"/>
    <w:rsid w:val="00E03A74"/>
    <w:rsid w:val="00E045FA"/>
    <w:rsid w:val="00E0709D"/>
    <w:rsid w:val="00E10524"/>
    <w:rsid w:val="00E10ACE"/>
    <w:rsid w:val="00E10B84"/>
    <w:rsid w:val="00E117E6"/>
    <w:rsid w:val="00E11FB7"/>
    <w:rsid w:val="00E12C01"/>
    <w:rsid w:val="00E12DB2"/>
    <w:rsid w:val="00E13AD6"/>
    <w:rsid w:val="00E13FD9"/>
    <w:rsid w:val="00E14190"/>
    <w:rsid w:val="00E14D49"/>
    <w:rsid w:val="00E14EFD"/>
    <w:rsid w:val="00E167EB"/>
    <w:rsid w:val="00E16C4A"/>
    <w:rsid w:val="00E17003"/>
    <w:rsid w:val="00E17FBE"/>
    <w:rsid w:val="00E17FC6"/>
    <w:rsid w:val="00E201C9"/>
    <w:rsid w:val="00E206EF"/>
    <w:rsid w:val="00E20E51"/>
    <w:rsid w:val="00E211FD"/>
    <w:rsid w:val="00E2161E"/>
    <w:rsid w:val="00E21B61"/>
    <w:rsid w:val="00E21BED"/>
    <w:rsid w:val="00E21F62"/>
    <w:rsid w:val="00E2252A"/>
    <w:rsid w:val="00E22598"/>
    <w:rsid w:val="00E22FA6"/>
    <w:rsid w:val="00E23493"/>
    <w:rsid w:val="00E235AB"/>
    <w:rsid w:val="00E239A7"/>
    <w:rsid w:val="00E23A75"/>
    <w:rsid w:val="00E23BDB"/>
    <w:rsid w:val="00E2427E"/>
    <w:rsid w:val="00E24E98"/>
    <w:rsid w:val="00E259C3"/>
    <w:rsid w:val="00E26D44"/>
    <w:rsid w:val="00E26F1B"/>
    <w:rsid w:val="00E26F45"/>
    <w:rsid w:val="00E27B28"/>
    <w:rsid w:val="00E27C6C"/>
    <w:rsid w:val="00E27FF9"/>
    <w:rsid w:val="00E30705"/>
    <w:rsid w:val="00E3092B"/>
    <w:rsid w:val="00E30B4E"/>
    <w:rsid w:val="00E310F3"/>
    <w:rsid w:val="00E337EE"/>
    <w:rsid w:val="00E35ED6"/>
    <w:rsid w:val="00E35FA9"/>
    <w:rsid w:val="00E3646D"/>
    <w:rsid w:val="00E37E2E"/>
    <w:rsid w:val="00E403BA"/>
    <w:rsid w:val="00E4049F"/>
    <w:rsid w:val="00E41265"/>
    <w:rsid w:val="00E412CC"/>
    <w:rsid w:val="00E417AD"/>
    <w:rsid w:val="00E41A39"/>
    <w:rsid w:val="00E4205E"/>
    <w:rsid w:val="00E42451"/>
    <w:rsid w:val="00E42603"/>
    <w:rsid w:val="00E42CD7"/>
    <w:rsid w:val="00E430FA"/>
    <w:rsid w:val="00E43251"/>
    <w:rsid w:val="00E433AA"/>
    <w:rsid w:val="00E437ED"/>
    <w:rsid w:val="00E44C26"/>
    <w:rsid w:val="00E460A2"/>
    <w:rsid w:val="00E47559"/>
    <w:rsid w:val="00E47670"/>
    <w:rsid w:val="00E47F07"/>
    <w:rsid w:val="00E5061F"/>
    <w:rsid w:val="00E508F3"/>
    <w:rsid w:val="00E50D83"/>
    <w:rsid w:val="00E50FF0"/>
    <w:rsid w:val="00E519C4"/>
    <w:rsid w:val="00E56E86"/>
    <w:rsid w:val="00E60515"/>
    <w:rsid w:val="00E61AFB"/>
    <w:rsid w:val="00E61DF1"/>
    <w:rsid w:val="00E62A42"/>
    <w:rsid w:val="00E62ED9"/>
    <w:rsid w:val="00E63DED"/>
    <w:rsid w:val="00E6401B"/>
    <w:rsid w:val="00E65194"/>
    <w:rsid w:val="00E66E95"/>
    <w:rsid w:val="00E66FAC"/>
    <w:rsid w:val="00E67045"/>
    <w:rsid w:val="00E678BE"/>
    <w:rsid w:val="00E70A99"/>
    <w:rsid w:val="00E70AA3"/>
    <w:rsid w:val="00E71BC7"/>
    <w:rsid w:val="00E71C66"/>
    <w:rsid w:val="00E71E1D"/>
    <w:rsid w:val="00E72E9C"/>
    <w:rsid w:val="00E73344"/>
    <w:rsid w:val="00E734D9"/>
    <w:rsid w:val="00E73E5F"/>
    <w:rsid w:val="00E73FEA"/>
    <w:rsid w:val="00E74592"/>
    <w:rsid w:val="00E75300"/>
    <w:rsid w:val="00E7639A"/>
    <w:rsid w:val="00E76D26"/>
    <w:rsid w:val="00E77967"/>
    <w:rsid w:val="00E80263"/>
    <w:rsid w:val="00E807A0"/>
    <w:rsid w:val="00E80CCE"/>
    <w:rsid w:val="00E819EC"/>
    <w:rsid w:val="00E82352"/>
    <w:rsid w:val="00E82B95"/>
    <w:rsid w:val="00E86443"/>
    <w:rsid w:val="00E867DF"/>
    <w:rsid w:val="00E86ED5"/>
    <w:rsid w:val="00E90B0A"/>
    <w:rsid w:val="00E91998"/>
    <w:rsid w:val="00E9250C"/>
    <w:rsid w:val="00E92AAA"/>
    <w:rsid w:val="00E9464D"/>
    <w:rsid w:val="00E94E60"/>
    <w:rsid w:val="00E95173"/>
    <w:rsid w:val="00E95C82"/>
    <w:rsid w:val="00E96148"/>
    <w:rsid w:val="00E965DE"/>
    <w:rsid w:val="00E968AA"/>
    <w:rsid w:val="00E96F26"/>
    <w:rsid w:val="00E97873"/>
    <w:rsid w:val="00E97D6C"/>
    <w:rsid w:val="00EA056F"/>
    <w:rsid w:val="00EA06BB"/>
    <w:rsid w:val="00EA08FD"/>
    <w:rsid w:val="00EA0EF5"/>
    <w:rsid w:val="00EA2757"/>
    <w:rsid w:val="00EA37D5"/>
    <w:rsid w:val="00EA38FC"/>
    <w:rsid w:val="00EA3A6E"/>
    <w:rsid w:val="00EA5F8D"/>
    <w:rsid w:val="00EA63E2"/>
    <w:rsid w:val="00EA6A04"/>
    <w:rsid w:val="00EA72A2"/>
    <w:rsid w:val="00EB2C16"/>
    <w:rsid w:val="00EB3665"/>
    <w:rsid w:val="00EB3AE3"/>
    <w:rsid w:val="00EB46CD"/>
    <w:rsid w:val="00EB4EED"/>
    <w:rsid w:val="00EB50F2"/>
    <w:rsid w:val="00EB5310"/>
    <w:rsid w:val="00EB7168"/>
    <w:rsid w:val="00EC0716"/>
    <w:rsid w:val="00EC118E"/>
    <w:rsid w:val="00EC2802"/>
    <w:rsid w:val="00EC4EA6"/>
    <w:rsid w:val="00EC5020"/>
    <w:rsid w:val="00EC71E9"/>
    <w:rsid w:val="00EC7713"/>
    <w:rsid w:val="00EC7CAE"/>
    <w:rsid w:val="00EC7F39"/>
    <w:rsid w:val="00ED0E87"/>
    <w:rsid w:val="00ED1DD1"/>
    <w:rsid w:val="00ED38C1"/>
    <w:rsid w:val="00ED4556"/>
    <w:rsid w:val="00ED497A"/>
    <w:rsid w:val="00ED4B7D"/>
    <w:rsid w:val="00ED4C9E"/>
    <w:rsid w:val="00ED5277"/>
    <w:rsid w:val="00ED5F6F"/>
    <w:rsid w:val="00ED61FE"/>
    <w:rsid w:val="00ED6E7F"/>
    <w:rsid w:val="00ED7E4E"/>
    <w:rsid w:val="00EE0297"/>
    <w:rsid w:val="00EE0BD0"/>
    <w:rsid w:val="00EE1271"/>
    <w:rsid w:val="00EE1F89"/>
    <w:rsid w:val="00EE3CC0"/>
    <w:rsid w:val="00EE44DF"/>
    <w:rsid w:val="00EE4F3D"/>
    <w:rsid w:val="00EE50B7"/>
    <w:rsid w:val="00EF07DC"/>
    <w:rsid w:val="00EF1B83"/>
    <w:rsid w:val="00EF2F32"/>
    <w:rsid w:val="00EF3844"/>
    <w:rsid w:val="00EF3E61"/>
    <w:rsid w:val="00EF4A83"/>
    <w:rsid w:val="00EF511B"/>
    <w:rsid w:val="00EF728D"/>
    <w:rsid w:val="00EF7B2B"/>
    <w:rsid w:val="00F0078C"/>
    <w:rsid w:val="00F0091B"/>
    <w:rsid w:val="00F00DF6"/>
    <w:rsid w:val="00F01365"/>
    <w:rsid w:val="00F01AB9"/>
    <w:rsid w:val="00F02EC2"/>
    <w:rsid w:val="00F02F08"/>
    <w:rsid w:val="00F03B57"/>
    <w:rsid w:val="00F03E2D"/>
    <w:rsid w:val="00F0434C"/>
    <w:rsid w:val="00F04BD1"/>
    <w:rsid w:val="00F05D14"/>
    <w:rsid w:val="00F064A8"/>
    <w:rsid w:val="00F07506"/>
    <w:rsid w:val="00F07F8C"/>
    <w:rsid w:val="00F1016C"/>
    <w:rsid w:val="00F1057A"/>
    <w:rsid w:val="00F10796"/>
    <w:rsid w:val="00F11175"/>
    <w:rsid w:val="00F116B7"/>
    <w:rsid w:val="00F13651"/>
    <w:rsid w:val="00F13B35"/>
    <w:rsid w:val="00F155BD"/>
    <w:rsid w:val="00F15980"/>
    <w:rsid w:val="00F15DD2"/>
    <w:rsid w:val="00F16B4C"/>
    <w:rsid w:val="00F20335"/>
    <w:rsid w:val="00F20382"/>
    <w:rsid w:val="00F209ED"/>
    <w:rsid w:val="00F210FD"/>
    <w:rsid w:val="00F2118B"/>
    <w:rsid w:val="00F22150"/>
    <w:rsid w:val="00F23239"/>
    <w:rsid w:val="00F238D4"/>
    <w:rsid w:val="00F23D08"/>
    <w:rsid w:val="00F23E65"/>
    <w:rsid w:val="00F23EDE"/>
    <w:rsid w:val="00F27242"/>
    <w:rsid w:val="00F30789"/>
    <w:rsid w:val="00F322F8"/>
    <w:rsid w:val="00F32B4F"/>
    <w:rsid w:val="00F33174"/>
    <w:rsid w:val="00F359A1"/>
    <w:rsid w:val="00F401B6"/>
    <w:rsid w:val="00F40E57"/>
    <w:rsid w:val="00F410EC"/>
    <w:rsid w:val="00F41404"/>
    <w:rsid w:val="00F41C59"/>
    <w:rsid w:val="00F41F0E"/>
    <w:rsid w:val="00F41F17"/>
    <w:rsid w:val="00F42434"/>
    <w:rsid w:val="00F43206"/>
    <w:rsid w:val="00F43CE2"/>
    <w:rsid w:val="00F44CE3"/>
    <w:rsid w:val="00F44E73"/>
    <w:rsid w:val="00F45475"/>
    <w:rsid w:val="00F46144"/>
    <w:rsid w:val="00F46B53"/>
    <w:rsid w:val="00F5035C"/>
    <w:rsid w:val="00F50386"/>
    <w:rsid w:val="00F50458"/>
    <w:rsid w:val="00F50599"/>
    <w:rsid w:val="00F51E95"/>
    <w:rsid w:val="00F52213"/>
    <w:rsid w:val="00F5222F"/>
    <w:rsid w:val="00F524FF"/>
    <w:rsid w:val="00F52A14"/>
    <w:rsid w:val="00F52E20"/>
    <w:rsid w:val="00F52F10"/>
    <w:rsid w:val="00F52F76"/>
    <w:rsid w:val="00F52FBB"/>
    <w:rsid w:val="00F54BCF"/>
    <w:rsid w:val="00F55092"/>
    <w:rsid w:val="00F552D5"/>
    <w:rsid w:val="00F55C15"/>
    <w:rsid w:val="00F566B9"/>
    <w:rsid w:val="00F56CFB"/>
    <w:rsid w:val="00F56ED1"/>
    <w:rsid w:val="00F5749E"/>
    <w:rsid w:val="00F57F46"/>
    <w:rsid w:val="00F605A1"/>
    <w:rsid w:val="00F61597"/>
    <w:rsid w:val="00F62255"/>
    <w:rsid w:val="00F628F5"/>
    <w:rsid w:val="00F636DD"/>
    <w:rsid w:val="00F63F92"/>
    <w:rsid w:val="00F6468F"/>
    <w:rsid w:val="00F646A5"/>
    <w:rsid w:val="00F65698"/>
    <w:rsid w:val="00F65AFA"/>
    <w:rsid w:val="00F65E4D"/>
    <w:rsid w:val="00F65E85"/>
    <w:rsid w:val="00F6782D"/>
    <w:rsid w:val="00F67F5F"/>
    <w:rsid w:val="00F72EC1"/>
    <w:rsid w:val="00F73F4B"/>
    <w:rsid w:val="00F74CFE"/>
    <w:rsid w:val="00F7502C"/>
    <w:rsid w:val="00F752EB"/>
    <w:rsid w:val="00F7619A"/>
    <w:rsid w:val="00F77111"/>
    <w:rsid w:val="00F7729E"/>
    <w:rsid w:val="00F77B45"/>
    <w:rsid w:val="00F8001E"/>
    <w:rsid w:val="00F805AD"/>
    <w:rsid w:val="00F80D3D"/>
    <w:rsid w:val="00F80DCE"/>
    <w:rsid w:val="00F8244D"/>
    <w:rsid w:val="00F8274E"/>
    <w:rsid w:val="00F8295E"/>
    <w:rsid w:val="00F83118"/>
    <w:rsid w:val="00F84A7E"/>
    <w:rsid w:val="00F85121"/>
    <w:rsid w:val="00F85510"/>
    <w:rsid w:val="00F8568A"/>
    <w:rsid w:val="00F859DE"/>
    <w:rsid w:val="00F85EB3"/>
    <w:rsid w:val="00F86717"/>
    <w:rsid w:val="00F87A5D"/>
    <w:rsid w:val="00F87B25"/>
    <w:rsid w:val="00F90315"/>
    <w:rsid w:val="00F909DD"/>
    <w:rsid w:val="00F910F4"/>
    <w:rsid w:val="00F91558"/>
    <w:rsid w:val="00F91BB7"/>
    <w:rsid w:val="00F9239B"/>
    <w:rsid w:val="00F92B24"/>
    <w:rsid w:val="00F93891"/>
    <w:rsid w:val="00F93D53"/>
    <w:rsid w:val="00F965AC"/>
    <w:rsid w:val="00FA005C"/>
    <w:rsid w:val="00FA0182"/>
    <w:rsid w:val="00FA174E"/>
    <w:rsid w:val="00FA1901"/>
    <w:rsid w:val="00FA1F5E"/>
    <w:rsid w:val="00FA202C"/>
    <w:rsid w:val="00FA23FF"/>
    <w:rsid w:val="00FA250C"/>
    <w:rsid w:val="00FA2BF1"/>
    <w:rsid w:val="00FA5BA5"/>
    <w:rsid w:val="00FA606B"/>
    <w:rsid w:val="00FB0E81"/>
    <w:rsid w:val="00FB19DD"/>
    <w:rsid w:val="00FB1A26"/>
    <w:rsid w:val="00FB38EC"/>
    <w:rsid w:val="00FB42AF"/>
    <w:rsid w:val="00FB436C"/>
    <w:rsid w:val="00FB45AD"/>
    <w:rsid w:val="00FB6C3C"/>
    <w:rsid w:val="00FB7B3A"/>
    <w:rsid w:val="00FC0FBB"/>
    <w:rsid w:val="00FC11CC"/>
    <w:rsid w:val="00FC20F8"/>
    <w:rsid w:val="00FC2236"/>
    <w:rsid w:val="00FC22CC"/>
    <w:rsid w:val="00FC2390"/>
    <w:rsid w:val="00FC28AC"/>
    <w:rsid w:val="00FC30E5"/>
    <w:rsid w:val="00FC38FF"/>
    <w:rsid w:val="00FC4017"/>
    <w:rsid w:val="00FC42FD"/>
    <w:rsid w:val="00FC7A3C"/>
    <w:rsid w:val="00FD0396"/>
    <w:rsid w:val="00FD41E0"/>
    <w:rsid w:val="00FD52EE"/>
    <w:rsid w:val="00FD7080"/>
    <w:rsid w:val="00FD7285"/>
    <w:rsid w:val="00FE064B"/>
    <w:rsid w:val="00FE084D"/>
    <w:rsid w:val="00FE10CE"/>
    <w:rsid w:val="00FE1351"/>
    <w:rsid w:val="00FE1F68"/>
    <w:rsid w:val="00FE2E6C"/>
    <w:rsid w:val="00FE3A2E"/>
    <w:rsid w:val="00FE40FB"/>
    <w:rsid w:val="00FE4A78"/>
    <w:rsid w:val="00FE5555"/>
    <w:rsid w:val="00FE6795"/>
    <w:rsid w:val="00FE6F52"/>
    <w:rsid w:val="00FE78C2"/>
    <w:rsid w:val="00FF1898"/>
    <w:rsid w:val="00FF1C67"/>
    <w:rsid w:val="00FF1E55"/>
    <w:rsid w:val="00FF2362"/>
    <w:rsid w:val="00FF2889"/>
    <w:rsid w:val="00FF2B6A"/>
    <w:rsid w:val="00FF2FC5"/>
    <w:rsid w:val="00FF3CF1"/>
    <w:rsid w:val="00FF482C"/>
    <w:rsid w:val="00FF493A"/>
    <w:rsid w:val="00FF6A57"/>
    <w:rsid w:val="00FF7927"/>
    <w:rsid w:val="00FF79C7"/>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62ABE673"/>
  <w15:docId w15:val="{E0E611D7-03B6-404A-93E7-047D56AC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48E2"/>
    <w:rPr>
      <w:sz w:val="20"/>
      <w:szCs w:val="20"/>
    </w:rPr>
  </w:style>
  <w:style w:type="paragraph" w:styleId="Heading1">
    <w:name w:val="heading 1"/>
    <w:basedOn w:val="Normal"/>
    <w:next w:val="Normal"/>
    <w:link w:val="Heading1Char"/>
    <w:uiPriority w:val="99"/>
    <w:qFormat/>
    <w:rsid w:val="004048E2"/>
    <w:pPr>
      <w:keepNext/>
      <w:outlineLvl w:val="0"/>
    </w:pPr>
    <w:rPr>
      <w:sz w:val="24"/>
    </w:rPr>
  </w:style>
  <w:style w:type="paragraph" w:styleId="Heading2">
    <w:name w:val="heading 2"/>
    <w:basedOn w:val="Normal"/>
    <w:next w:val="Normal"/>
    <w:link w:val="Heading2Char"/>
    <w:uiPriority w:val="99"/>
    <w:qFormat/>
    <w:rsid w:val="004048E2"/>
    <w:pPr>
      <w:keepNext/>
      <w:jc w:val="right"/>
      <w:outlineLvl w:val="1"/>
    </w:pPr>
    <w:rPr>
      <w:sz w:val="24"/>
    </w:rPr>
  </w:style>
  <w:style w:type="paragraph" w:styleId="Heading3">
    <w:name w:val="heading 3"/>
    <w:basedOn w:val="Normal"/>
    <w:next w:val="Normal"/>
    <w:link w:val="Heading3Char"/>
    <w:uiPriority w:val="99"/>
    <w:qFormat/>
    <w:rsid w:val="004048E2"/>
    <w:pPr>
      <w:keepNext/>
      <w:outlineLvl w:val="2"/>
    </w:pPr>
    <w:rPr>
      <w:b/>
      <w:sz w:val="22"/>
    </w:rPr>
  </w:style>
  <w:style w:type="paragraph" w:styleId="Heading4">
    <w:name w:val="heading 4"/>
    <w:basedOn w:val="Normal"/>
    <w:next w:val="Normal"/>
    <w:link w:val="Heading4Char"/>
    <w:uiPriority w:val="99"/>
    <w:qFormat/>
    <w:rsid w:val="004048E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1E8"/>
    <w:rPr>
      <w:rFonts w:cs="Times New Roman"/>
      <w:sz w:val="24"/>
    </w:rPr>
  </w:style>
  <w:style w:type="character" w:customStyle="1" w:styleId="Heading2Char">
    <w:name w:val="Heading 2 Char"/>
    <w:basedOn w:val="DefaultParagraphFont"/>
    <w:link w:val="Heading2"/>
    <w:uiPriority w:val="99"/>
    <w:locked/>
    <w:rsid w:val="00AC61E8"/>
    <w:rPr>
      <w:rFonts w:cs="Times New Roman"/>
      <w:sz w:val="24"/>
    </w:rPr>
  </w:style>
  <w:style w:type="character" w:customStyle="1" w:styleId="Heading3Char">
    <w:name w:val="Heading 3 Char"/>
    <w:basedOn w:val="DefaultParagraphFont"/>
    <w:link w:val="Heading3"/>
    <w:uiPriority w:val="99"/>
    <w:locked/>
    <w:rsid w:val="00AC61E8"/>
    <w:rPr>
      <w:rFonts w:cs="Times New Roman"/>
      <w:b/>
      <w:sz w:val="22"/>
    </w:rPr>
  </w:style>
  <w:style w:type="character" w:customStyle="1" w:styleId="Heading4Char">
    <w:name w:val="Heading 4 Char"/>
    <w:basedOn w:val="DefaultParagraphFont"/>
    <w:link w:val="Heading4"/>
    <w:uiPriority w:val="99"/>
    <w:locked/>
    <w:rsid w:val="00AC61E8"/>
    <w:rPr>
      <w:rFonts w:cs="Times New Roman"/>
      <w:b/>
    </w:rPr>
  </w:style>
  <w:style w:type="paragraph" w:styleId="BodyText">
    <w:name w:val="Body Text"/>
    <w:basedOn w:val="Normal"/>
    <w:link w:val="BodyTextChar"/>
    <w:uiPriority w:val="99"/>
    <w:rsid w:val="004048E2"/>
    <w:rPr>
      <w:sz w:val="22"/>
    </w:rPr>
  </w:style>
  <w:style w:type="character" w:customStyle="1" w:styleId="BodyTextChar">
    <w:name w:val="Body Text Char"/>
    <w:basedOn w:val="DefaultParagraphFont"/>
    <w:link w:val="BodyText"/>
    <w:uiPriority w:val="99"/>
    <w:locked/>
    <w:rsid w:val="00AC61E8"/>
    <w:rPr>
      <w:rFonts w:cs="Times New Roman"/>
      <w:sz w:val="22"/>
    </w:rPr>
  </w:style>
  <w:style w:type="paragraph" w:styleId="BodyText2">
    <w:name w:val="Body Text 2"/>
    <w:basedOn w:val="Normal"/>
    <w:link w:val="BodyText2Char"/>
    <w:uiPriority w:val="99"/>
    <w:rsid w:val="004048E2"/>
    <w:rPr>
      <w:rFonts w:ascii="Arial" w:hAnsi="Arial"/>
      <w:sz w:val="18"/>
    </w:rPr>
  </w:style>
  <w:style w:type="character" w:customStyle="1" w:styleId="BodyText2Char">
    <w:name w:val="Body Text 2 Char"/>
    <w:basedOn w:val="DefaultParagraphFont"/>
    <w:link w:val="BodyText2"/>
    <w:uiPriority w:val="99"/>
    <w:locked/>
    <w:rsid w:val="00AC61E8"/>
    <w:rPr>
      <w:rFonts w:ascii="Arial" w:hAnsi="Arial" w:cs="Times New Roman"/>
      <w:sz w:val="18"/>
    </w:rPr>
  </w:style>
  <w:style w:type="paragraph" w:styleId="BalloonText">
    <w:name w:val="Balloon Text"/>
    <w:basedOn w:val="Normal"/>
    <w:link w:val="BalloonTextChar"/>
    <w:uiPriority w:val="99"/>
    <w:semiHidden/>
    <w:rsid w:val="004048E2"/>
    <w:rPr>
      <w:rFonts w:ascii="Tahoma" w:hAnsi="Tahoma"/>
      <w:sz w:val="16"/>
      <w:szCs w:val="16"/>
    </w:rPr>
  </w:style>
  <w:style w:type="character" w:customStyle="1" w:styleId="BalloonTextChar">
    <w:name w:val="Balloon Text Char"/>
    <w:basedOn w:val="DefaultParagraphFont"/>
    <w:link w:val="BalloonText"/>
    <w:uiPriority w:val="99"/>
    <w:semiHidden/>
    <w:locked/>
    <w:rsid w:val="00AC61E8"/>
    <w:rPr>
      <w:rFonts w:ascii="Tahoma" w:hAnsi="Tahoma" w:cs="Times New Roman"/>
      <w:sz w:val="16"/>
    </w:rPr>
  </w:style>
  <w:style w:type="paragraph" w:customStyle="1" w:styleId="Indent1">
    <w:name w:val="Indent 1"/>
    <w:basedOn w:val="Normal"/>
    <w:uiPriority w:val="99"/>
    <w:rsid w:val="004048E2"/>
    <w:rPr>
      <w:sz w:val="24"/>
    </w:rPr>
  </w:style>
  <w:style w:type="character" w:styleId="Hyperlink">
    <w:name w:val="Hyperlink"/>
    <w:basedOn w:val="DefaultParagraphFont"/>
    <w:uiPriority w:val="99"/>
    <w:rsid w:val="004048E2"/>
    <w:rPr>
      <w:rFonts w:cs="Times New Roman"/>
      <w:color w:val="0000FF"/>
      <w:u w:val="single"/>
    </w:rPr>
  </w:style>
  <w:style w:type="character" w:styleId="FollowedHyperlink">
    <w:name w:val="FollowedHyperlink"/>
    <w:basedOn w:val="DefaultParagraphFont"/>
    <w:uiPriority w:val="99"/>
    <w:rsid w:val="004048E2"/>
    <w:rPr>
      <w:rFonts w:cs="Times New Roman"/>
      <w:color w:val="800080"/>
      <w:u w:val="single"/>
    </w:rPr>
  </w:style>
  <w:style w:type="paragraph" w:styleId="BodyText3">
    <w:name w:val="Body Text 3"/>
    <w:basedOn w:val="Normal"/>
    <w:link w:val="BodyText3Char"/>
    <w:uiPriority w:val="99"/>
    <w:rsid w:val="004048E2"/>
    <w:pPr>
      <w:jc w:val="both"/>
    </w:pPr>
    <w:rPr>
      <w:rFonts w:ascii="Arial Narrow" w:hAnsi="Arial Narrow" w:cs="Arial"/>
      <w:sz w:val="22"/>
      <w:szCs w:val="16"/>
      <w:lang w:val="en-US" w:eastAsia="en-US"/>
    </w:rPr>
  </w:style>
  <w:style w:type="character" w:customStyle="1" w:styleId="BodyText3Char">
    <w:name w:val="Body Text 3 Char"/>
    <w:basedOn w:val="DefaultParagraphFont"/>
    <w:link w:val="BodyText3"/>
    <w:uiPriority w:val="99"/>
    <w:semiHidden/>
    <w:locked/>
    <w:rsid w:val="00F910F4"/>
    <w:rPr>
      <w:rFonts w:cs="Times New Roman"/>
      <w:sz w:val="16"/>
      <w:szCs w:val="16"/>
    </w:rPr>
  </w:style>
  <w:style w:type="paragraph" w:styleId="Header">
    <w:name w:val="header"/>
    <w:basedOn w:val="Normal"/>
    <w:link w:val="HeaderChar"/>
    <w:uiPriority w:val="99"/>
    <w:rsid w:val="004048E2"/>
    <w:pPr>
      <w:tabs>
        <w:tab w:val="center" w:pos="4153"/>
        <w:tab w:val="right" w:pos="8306"/>
      </w:tabs>
    </w:pPr>
  </w:style>
  <w:style w:type="character" w:customStyle="1" w:styleId="HeaderChar">
    <w:name w:val="Header Char"/>
    <w:basedOn w:val="DefaultParagraphFont"/>
    <w:link w:val="Header"/>
    <w:uiPriority w:val="99"/>
    <w:locked/>
    <w:rsid w:val="00AC61E8"/>
    <w:rPr>
      <w:rFonts w:cs="Times New Roman"/>
    </w:rPr>
  </w:style>
  <w:style w:type="paragraph" w:styleId="Footer">
    <w:name w:val="footer"/>
    <w:basedOn w:val="Normal"/>
    <w:link w:val="FooterChar"/>
    <w:uiPriority w:val="99"/>
    <w:rsid w:val="004048E2"/>
    <w:pPr>
      <w:tabs>
        <w:tab w:val="center" w:pos="4153"/>
        <w:tab w:val="right" w:pos="8306"/>
      </w:tabs>
    </w:pPr>
  </w:style>
  <w:style w:type="character" w:customStyle="1" w:styleId="FooterChar">
    <w:name w:val="Footer Char"/>
    <w:basedOn w:val="DefaultParagraphFont"/>
    <w:link w:val="Footer"/>
    <w:uiPriority w:val="99"/>
    <w:locked/>
    <w:rsid w:val="00AC61E8"/>
    <w:rPr>
      <w:rFonts w:cs="Times New Roman"/>
    </w:rPr>
  </w:style>
  <w:style w:type="character" w:styleId="PageNumber">
    <w:name w:val="page number"/>
    <w:basedOn w:val="DefaultParagraphFont"/>
    <w:uiPriority w:val="99"/>
    <w:rsid w:val="004048E2"/>
    <w:rPr>
      <w:rFonts w:cs="Times New Roman"/>
    </w:rPr>
  </w:style>
  <w:style w:type="paragraph" w:styleId="NormalWeb">
    <w:name w:val="Normal (Web)"/>
    <w:basedOn w:val="Normal"/>
    <w:uiPriority w:val="99"/>
    <w:rsid w:val="004048E2"/>
    <w:pPr>
      <w:spacing w:before="100" w:beforeAutospacing="1" w:after="100" w:afterAutospacing="1"/>
    </w:pPr>
    <w:rPr>
      <w:sz w:val="24"/>
      <w:szCs w:val="24"/>
    </w:rPr>
  </w:style>
  <w:style w:type="character" w:customStyle="1" w:styleId="storytext">
    <w:name w:val="storytext"/>
    <w:basedOn w:val="DefaultParagraphFont"/>
    <w:uiPriority w:val="99"/>
    <w:rsid w:val="004048E2"/>
    <w:rPr>
      <w:rFonts w:cs="Times New Roman"/>
    </w:rPr>
  </w:style>
  <w:style w:type="character" w:styleId="CommentReference">
    <w:name w:val="annotation reference"/>
    <w:basedOn w:val="DefaultParagraphFont"/>
    <w:uiPriority w:val="99"/>
    <w:semiHidden/>
    <w:rsid w:val="004048E2"/>
    <w:rPr>
      <w:rFonts w:cs="Times New Roman"/>
      <w:sz w:val="16"/>
    </w:rPr>
  </w:style>
  <w:style w:type="paragraph" w:styleId="CommentText">
    <w:name w:val="annotation text"/>
    <w:basedOn w:val="Normal"/>
    <w:link w:val="CommentTextChar"/>
    <w:uiPriority w:val="99"/>
    <w:semiHidden/>
    <w:rsid w:val="004048E2"/>
  </w:style>
  <w:style w:type="character" w:customStyle="1" w:styleId="CommentTextChar">
    <w:name w:val="Comment Text Char"/>
    <w:basedOn w:val="DefaultParagraphFont"/>
    <w:link w:val="CommentText"/>
    <w:uiPriority w:val="99"/>
    <w:semiHidden/>
    <w:locked/>
    <w:rsid w:val="00AC61E8"/>
    <w:rPr>
      <w:rFonts w:cs="Times New Roman"/>
    </w:rPr>
  </w:style>
  <w:style w:type="paragraph" w:styleId="CommentSubject">
    <w:name w:val="annotation subject"/>
    <w:basedOn w:val="CommentText"/>
    <w:next w:val="CommentText"/>
    <w:link w:val="CommentSubjectChar"/>
    <w:uiPriority w:val="99"/>
    <w:semiHidden/>
    <w:rsid w:val="004048E2"/>
    <w:rPr>
      <w:b/>
      <w:bCs/>
    </w:rPr>
  </w:style>
  <w:style w:type="character" w:customStyle="1" w:styleId="CommentSubjectChar">
    <w:name w:val="Comment Subject Char"/>
    <w:basedOn w:val="CommentTextChar"/>
    <w:link w:val="CommentSubject"/>
    <w:uiPriority w:val="99"/>
    <w:semiHidden/>
    <w:locked/>
    <w:rsid w:val="00AC61E8"/>
    <w:rPr>
      <w:rFonts w:cs="Times New Roman"/>
      <w:b/>
    </w:rPr>
  </w:style>
  <w:style w:type="table" w:styleId="TableGrid">
    <w:name w:val="Table Grid"/>
    <w:basedOn w:val="TableNormal"/>
    <w:uiPriority w:val="99"/>
    <w:rsid w:val="00873F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63D85"/>
  </w:style>
  <w:style w:type="character" w:customStyle="1" w:styleId="FootnoteTextChar">
    <w:name w:val="Footnote Text Char"/>
    <w:basedOn w:val="DefaultParagraphFont"/>
    <w:link w:val="FootnoteText"/>
    <w:uiPriority w:val="99"/>
    <w:semiHidden/>
    <w:locked/>
    <w:rsid w:val="00F910F4"/>
    <w:rPr>
      <w:rFonts w:cs="Times New Roman"/>
      <w:sz w:val="20"/>
      <w:szCs w:val="20"/>
    </w:rPr>
  </w:style>
  <w:style w:type="character" w:styleId="FootnoteReference">
    <w:name w:val="footnote reference"/>
    <w:basedOn w:val="DefaultParagraphFont"/>
    <w:uiPriority w:val="99"/>
    <w:semiHidden/>
    <w:rsid w:val="00A63D85"/>
    <w:rPr>
      <w:rFonts w:cs="Times New Roman"/>
      <w:vertAlign w:val="superscript"/>
    </w:rPr>
  </w:style>
  <w:style w:type="character" w:customStyle="1" w:styleId="apple-style-span">
    <w:name w:val="apple-style-span"/>
    <w:basedOn w:val="DefaultParagraphFont"/>
    <w:uiPriority w:val="99"/>
    <w:rsid w:val="00EE0297"/>
    <w:rPr>
      <w:rFonts w:cs="Times New Roman"/>
    </w:rPr>
  </w:style>
  <w:style w:type="character" w:customStyle="1" w:styleId="apple-converted-space">
    <w:name w:val="apple-converted-space"/>
    <w:basedOn w:val="DefaultParagraphFont"/>
    <w:rsid w:val="00B219FD"/>
    <w:rPr>
      <w:rFonts w:cs="Times New Roman"/>
    </w:rPr>
  </w:style>
  <w:style w:type="paragraph" w:customStyle="1" w:styleId="ColorfulList-Accent11">
    <w:name w:val="Colorful List - Accent 11"/>
    <w:basedOn w:val="Normal"/>
    <w:uiPriority w:val="99"/>
    <w:rsid w:val="00AC61E8"/>
    <w:pPr>
      <w:spacing w:before="120" w:after="200"/>
      <w:ind w:left="720" w:hanging="357"/>
      <w:contextualSpacing/>
    </w:pPr>
    <w:rPr>
      <w:rFonts w:ascii="Calibri" w:hAnsi="Calibri"/>
      <w:sz w:val="22"/>
      <w:szCs w:val="22"/>
      <w:lang w:eastAsia="en-US"/>
    </w:rPr>
  </w:style>
  <w:style w:type="paragraph" w:customStyle="1" w:styleId="NormalArial">
    <w:name w:val="Normal + Arial"/>
    <w:aliases w:val="After:  2 pt"/>
    <w:basedOn w:val="Normal"/>
    <w:uiPriority w:val="99"/>
    <w:rsid w:val="00AC61E8"/>
    <w:pPr>
      <w:spacing w:before="60" w:after="60"/>
      <w:jc w:val="both"/>
    </w:pPr>
    <w:rPr>
      <w:rFonts w:ascii="Arial" w:hAnsi="Arial" w:cs="Arial"/>
    </w:rPr>
  </w:style>
  <w:style w:type="character" w:customStyle="1" w:styleId="il">
    <w:name w:val="il"/>
    <w:basedOn w:val="DefaultParagraphFont"/>
    <w:uiPriority w:val="99"/>
    <w:rsid w:val="00AC61E8"/>
    <w:rPr>
      <w:rFonts w:cs="Times New Roman"/>
    </w:rPr>
  </w:style>
  <w:style w:type="paragraph" w:styleId="DocumentMap">
    <w:name w:val="Document Map"/>
    <w:basedOn w:val="Normal"/>
    <w:link w:val="DocumentMapChar"/>
    <w:uiPriority w:val="99"/>
    <w:rsid w:val="001A3C98"/>
    <w:rPr>
      <w:rFonts w:ascii="Tahoma" w:hAnsi="Tahoma"/>
      <w:sz w:val="16"/>
      <w:szCs w:val="16"/>
    </w:rPr>
  </w:style>
  <w:style w:type="character" w:customStyle="1" w:styleId="DocumentMapChar">
    <w:name w:val="Document Map Char"/>
    <w:basedOn w:val="DefaultParagraphFont"/>
    <w:link w:val="DocumentMap"/>
    <w:uiPriority w:val="99"/>
    <w:locked/>
    <w:rsid w:val="001A3C98"/>
    <w:rPr>
      <w:rFonts w:ascii="Tahoma" w:hAnsi="Tahoma" w:cs="Times New Roman"/>
      <w:sz w:val="16"/>
    </w:rPr>
  </w:style>
  <w:style w:type="paragraph" w:styleId="ListParagraph">
    <w:name w:val="List Paragraph"/>
    <w:basedOn w:val="Normal"/>
    <w:uiPriority w:val="99"/>
    <w:qFormat/>
    <w:rsid w:val="0057488F"/>
    <w:pPr>
      <w:ind w:left="720"/>
    </w:pPr>
    <w:rPr>
      <w:sz w:val="24"/>
      <w:szCs w:val="24"/>
    </w:rPr>
  </w:style>
  <w:style w:type="character" w:styleId="Strong">
    <w:name w:val="Strong"/>
    <w:basedOn w:val="DefaultParagraphFont"/>
    <w:uiPriority w:val="22"/>
    <w:qFormat/>
    <w:locked/>
    <w:rsid w:val="00B13E29"/>
    <w:rPr>
      <w:b/>
      <w:bCs/>
    </w:rPr>
  </w:style>
  <w:style w:type="paragraph" w:styleId="Revision">
    <w:name w:val="Revision"/>
    <w:hidden/>
    <w:uiPriority w:val="99"/>
    <w:semiHidden/>
    <w:rsid w:val="00CC3E9C"/>
    <w:rPr>
      <w:sz w:val="20"/>
      <w:szCs w:val="20"/>
    </w:rPr>
  </w:style>
  <w:style w:type="paragraph" w:styleId="EndnoteText">
    <w:name w:val="endnote text"/>
    <w:basedOn w:val="Normal"/>
    <w:link w:val="EndnoteTextChar"/>
    <w:uiPriority w:val="99"/>
    <w:semiHidden/>
    <w:unhideWhenUsed/>
    <w:rsid w:val="002760F4"/>
  </w:style>
  <w:style w:type="character" w:customStyle="1" w:styleId="EndnoteTextChar">
    <w:name w:val="Endnote Text Char"/>
    <w:basedOn w:val="DefaultParagraphFont"/>
    <w:link w:val="EndnoteText"/>
    <w:uiPriority w:val="99"/>
    <w:semiHidden/>
    <w:rsid w:val="002760F4"/>
    <w:rPr>
      <w:sz w:val="20"/>
      <w:szCs w:val="20"/>
    </w:rPr>
  </w:style>
  <w:style w:type="character" w:styleId="EndnoteReference">
    <w:name w:val="endnote reference"/>
    <w:basedOn w:val="DefaultParagraphFont"/>
    <w:uiPriority w:val="99"/>
    <w:semiHidden/>
    <w:unhideWhenUsed/>
    <w:rsid w:val="002760F4"/>
    <w:rPr>
      <w:vertAlign w:val="superscript"/>
    </w:rPr>
  </w:style>
  <w:style w:type="character" w:styleId="Mention">
    <w:name w:val="Mention"/>
    <w:basedOn w:val="DefaultParagraphFont"/>
    <w:uiPriority w:val="99"/>
    <w:semiHidden/>
    <w:unhideWhenUsed/>
    <w:rsid w:val="003952AA"/>
    <w:rPr>
      <w:color w:val="2B579A"/>
      <w:shd w:val="clear" w:color="auto" w:fill="E6E6E6"/>
    </w:rPr>
  </w:style>
  <w:style w:type="paragraph" w:customStyle="1" w:styleId="Default">
    <w:name w:val="Default"/>
    <w:rsid w:val="00E66E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779">
      <w:bodyDiv w:val="1"/>
      <w:marLeft w:val="0"/>
      <w:marRight w:val="0"/>
      <w:marTop w:val="0"/>
      <w:marBottom w:val="0"/>
      <w:divBdr>
        <w:top w:val="none" w:sz="0" w:space="0" w:color="auto"/>
        <w:left w:val="none" w:sz="0" w:space="0" w:color="auto"/>
        <w:bottom w:val="none" w:sz="0" w:space="0" w:color="auto"/>
        <w:right w:val="none" w:sz="0" w:space="0" w:color="auto"/>
      </w:divBdr>
    </w:div>
    <w:div w:id="138349599">
      <w:bodyDiv w:val="1"/>
      <w:marLeft w:val="0"/>
      <w:marRight w:val="0"/>
      <w:marTop w:val="0"/>
      <w:marBottom w:val="0"/>
      <w:divBdr>
        <w:top w:val="none" w:sz="0" w:space="0" w:color="auto"/>
        <w:left w:val="none" w:sz="0" w:space="0" w:color="auto"/>
        <w:bottom w:val="none" w:sz="0" w:space="0" w:color="auto"/>
        <w:right w:val="none" w:sz="0" w:space="0" w:color="auto"/>
      </w:divBdr>
    </w:div>
    <w:div w:id="210457750">
      <w:bodyDiv w:val="1"/>
      <w:marLeft w:val="0"/>
      <w:marRight w:val="0"/>
      <w:marTop w:val="0"/>
      <w:marBottom w:val="0"/>
      <w:divBdr>
        <w:top w:val="none" w:sz="0" w:space="0" w:color="auto"/>
        <w:left w:val="none" w:sz="0" w:space="0" w:color="auto"/>
        <w:bottom w:val="none" w:sz="0" w:space="0" w:color="auto"/>
        <w:right w:val="none" w:sz="0" w:space="0" w:color="auto"/>
      </w:divBdr>
    </w:div>
    <w:div w:id="264309110">
      <w:bodyDiv w:val="1"/>
      <w:marLeft w:val="0"/>
      <w:marRight w:val="0"/>
      <w:marTop w:val="0"/>
      <w:marBottom w:val="0"/>
      <w:divBdr>
        <w:top w:val="none" w:sz="0" w:space="0" w:color="auto"/>
        <w:left w:val="none" w:sz="0" w:space="0" w:color="auto"/>
        <w:bottom w:val="none" w:sz="0" w:space="0" w:color="auto"/>
        <w:right w:val="none" w:sz="0" w:space="0" w:color="auto"/>
      </w:divBdr>
    </w:div>
    <w:div w:id="312297394">
      <w:bodyDiv w:val="1"/>
      <w:marLeft w:val="0"/>
      <w:marRight w:val="0"/>
      <w:marTop w:val="0"/>
      <w:marBottom w:val="0"/>
      <w:divBdr>
        <w:top w:val="none" w:sz="0" w:space="0" w:color="auto"/>
        <w:left w:val="none" w:sz="0" w:space="0" w:color="auto"/>
        <w:bottom w:val="none" w:sz="0" w:space="0" w:color="auto"/>
        <w:right w:val="none" w:sz="0" w:space="0" w:color="auto"/>
      </w:divBdr>
    </w:div>
    <w:div w:id="487982833">
      <w:bodyDiv w:val="1"/>
      <w:marLeft w:val="0"/>
      <w:marRight w:val="0"/>
      <w:marTop w:val="0"/>
      <w:marBottom w:val="0"/>
      <w:divBdr>
        <w:top w:val="none" w:sz="0" w:space="0" w:color="auto"/>
        <w:left w:val="none" w:sz="0" w:space="0" w:color="auto"/>
        <w:bottom w:val="none" w:sz="0" w:space="0" w:color="auto"/>
        <w:right w:val="none" w:sz="0" w:space="0" w:color="auto"/>
      </w:divBdr>
    </w:div>
    <w:div w:id="498812217">
      <w:bodyDiv w:val="1"/>
      <w:marLeft w:val="0"/>
      <w:marRight w:val="0"/>
      <w:marTop w:val="0"/>
      <w:marBottom w:val="0"/>
      <w:divBdr>
        <w:top w:val="none" w:sz="0" w:space="0" w:color="auto"/>
        <w:left w:val="none" w:sz="0" w:space="0" w:color="auto"/>
        <w:bottom w:val="none" w:sz="0" w:space="0" w:color="auto"/>
        <w:right w:val="none" w:sz="0" w:space="0" w:color="auto"/>
      </w:divBdr>
    </w:div>
    <w:div w:id="505288023">
      <w:bodyDiv w:val="1"/>
      <w:marLeft w:val="0"/>
      <w:marRight w:val="0"/>
      <w:marTop w:val="0"/>
      <w:marBottom w:val="0"/>
      <w:divBdr>
        <w:top w:val="none" w:sz="0" w:space="0" w:color="auto"/>
        <w:left w:val="none" w:sz="0" w:space="0" w:color="auto"/>
        <w:bottom w:val="none" w:sz="0" w:space="0" w:color="auto"/>
        <w:right w:val="none" w:sz="0" w:space="0" w:color="auto"/>
      </w:divBdr>
    </w:div>
    <w:div w:id="663624690">
      <w:bodyDiv w:val="1"/>
      <w:marLeft w:val="0"/>
      <w:marRight w:val="0"/>
      <w:marTop w:val="0"/>
      <w:marBottom w:val="0"/>
      <w:divBdr>
        <w:top w:val="none" w:sz="0" w:space="0" w:color="auto"/>
        <w:left w:val="none" w:sz="0" w:space="0" w:color="auto"/>
        <w:bottom w:val="none" w:sz="0" w:space="0" w:color="auto"/>
        <w:right w:val="none" w:sz="0" w:space="0" w:color="auto"/>
      </w:divBdr>
    </w:div>
    <w:div w:id="669941586">
      <w:bodyDiv w:val="1"/>
      <w:marLeft w:val="0"/>
      <w:marRight w:val="0"/>
      <w:marTop w:val="0"/>
      <w:marBottom w:val="0"/>
      <w:divBdr>
        <w:top w:val="none" w:sz="0" w:space="0" w:color="auto"/>
        <w:left w:val="none" w:sz="0" w:space="0" w:color="auto"/>
        <w:bottom w:val="none" w:sz="0" w:space="0" w:color="auto"/>
        <w:right w:val="none" w:sz="0" w:space="0" w:color="auto"/>
      </w:divBdr>
    </w:div>
    <w:div w:id="851190535">
      <w:bodyDiv w:val="1"/>
      <w:marLeft w:val="0"/>
      <w:marRight w:val="0"/>
      <w:marTop w:val="0"/>
      <w:marBottom w:val="0"/>
      <w:divBdr>
        <w:top w:val="none" w:sz="0" w:space="0" w:color="auto"/>
        <w:left w:val="none" w:sz="0" w:space="0" w:color="auto"/>
        <w:bottom w:val="none" w:sz="0" w:space="0" w:color="auto"/>
        <w:right w:val="none" w:sz="0" w:space="0" w:color="auto"/>
      </w:divBdr>
    </w:div>
    <w:div w:id="932864086">
      <w:bodyDiv w:val="1"/>
      <w:marLeft w:val="0"/>
      <w:marRight w:val="0"/>
      <w:marTop w:val="0"/>
      <w:marBottom w:val="0"/>
      <w:divBdr>
        <w:top w:val="none" w:sz="0" w:space="0" w:color="auto"/>
        <w:left w:val="none" w:sz="0" w:space="0" w:color="auto"/>
        <w:bottom w:val="none" w:sz="0" w:space="0" w:color="auto"/>
        <w:right w:val="none" w:sz="0" w:space="0" w:color="auto"/>
      </w:divBdr>
    </w:div>
    <w:div w:id="1029792734">
      <w:bodyDiv w:val="1"/>
      <w:marLeft w:val="0"/>
      <w:marRight w:val="0"/>
      <w:marTop w:val="0"/>
      <w:marBottom w:val="0"/>
      <w:divBdr>
        <w:top w:val="none" w:sz="0" w:space="0" w:color="auto"/>
        <w:left w:val="none" w:sz="0" w:space="0" w:color="auto"/>
        <w:bottom w:val="none" w:sz="0" w:space="0" w:color="auto"/>
        <w:right w:val="none" w:sz="0" w:space="0" w:color="auto"/>
      </w:divBdr>
    </w:div>
    <w:div w:id="1075543856">
      <w:bodyDiv w:val="1"/>
      <w:marLeft w:val="0"/>
      <w:marRight w:val="0"/>
      <w:marTop w:val="0"/>
      <w:marBottom w:val="0"/>
      <w:divBdr>
        <w:top w:val="none" w:sz="0" w:space="0" w:color="auto"/>
        <w:left w:val="none" w:sz="0" w:space="0" w:color="auto"/>
        <w:bottom w:val="none" w:sz="0" w:space="0" w:color="auto"/>
        <w:right w:val="none" w:sz="0" w:space="0" w:color="auto"/>
      </w:divBdr>
    </w:div>
    <w:div w:id="1098672172">
      <w:bodyDiv w:val="1"/>
      <w:marLeft w:val="0"/>
      <w:marRight w:val="0"/>
      <w:marTop w:val="0"/>
      <w:marBottom w:val="0"/>
      <w:divBdr>
        <w:top w:val="none" w:sz="0" w:space="0" w:color="auto"/>
        <w:left w:val="none" w:sz="0" w:space="0" w:color="auto"/>
        <w:bottom w:val="none" w:sz="0" w:space="0" w:color="auto"/>
        <w:right w:val="none" w:sz="0" w:space="0" w:color="auto"/>
      </w:divBdr>
    </w:div>
    <w:div w:id="1141575705">
      <w:bodyDiv w:val="1"/>
      <w:marLeft w:val="0"/>
      <w:marRight w:val="0"/>
      <w:marTop w:val="0"/>
      <w:marBottom w:val="0"/>
      <w:divBdr>
        <w:top w:val="none" w:sz="0" w:space="0" w:color="auto"/>
        <w:left w:val="none" w:sz="0" w:space="0" w:color="auto"/>
        <w:bottom w:val="none" w:sz="0" w:space="0" w:color="auto"/>
        <w:right w:val="none" w:sz="0" w:space="0" w:color="auto"/>
      </w:divBdr>
    </w:div>
    <w:div w:id="1669286628">
      <w:bodyDiv w:val="1"/>
      <w:marLeft w:val="0"/>
      <w:marRight w:val="0"/>
      <w:marTop w:val="0"/>
      <w:marBottom w:val="0"/>
      <w:divBdr>
        <w:top w:val="none" w:sz="0" w:space="0" w:color="auto"/>
        <w:left w:val="none" w:sz="0" w:space="0" w:color="auto"/>
        <w:bottom w:val="none" w:sz="0" w:space="0" w:color="auto"/>
        <w:right w:val="none" w:sz="0" w:space="0" w:color="auto"/>
      </w:divBdr>
      <w:divsChild>
        <w:div w:id="91012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19111">
              <w:marLeft w:val="0"/>
              <w:marRight w:val="0"/>
              <w:marTop w:val="0"/>
              <w:marBottom w:val="0"/>
              <w:divBdr>
                <w:top w:val="none" w:sz="0" w:space="0" w:color="auto"/>
                <w:left w:val="none" w:sz="0" w:space="0" w:color="auto"/>
                <w:bottom w:val="none" w:sz="0" w:space="0" w:color="auto"/>
                <w:right w:val="none" w:sz="0" w:space="0" w:color="auto"/>
              </w:divBdr>
              <w:divsChild>
                <w:div w:id="1899902128">
                  <w:marLeft w:val="0"/>
                  <w:marRight w:val="0"/>
                  <w:marTop w:val="0"/>
                  <w:marBottom w:val="0"/>
                  <w:divBdr>
                    <w:top w:val="none" w:sz="0" w:space="0" w:color="auto"/>
                    <w:left w:val="none" w:sz="0" w:space="0" w:color="auto"/>
                    <w:bottom w:val="none" w:sz="0" w:space="0" w:color="auto"/>
                    <w:right w:val="none" w:sz="0" w:space="0" w:color="auto"/>
                  </w:divBdr>
                  <w:divsChild>
                    <w:div w:id="1846092845">
                      <w:marLeft w:val="0"/>
                      <w:marRight w:val="0"/>
                      <w:marTop w:val="0"/>
                      <w:marBottom w:val="0"/>
                      <w:divBdr>
                        <w:top w:val="none" w:sz="0" w:space="0" w:color="auto"/>
                        <w:left w:val="none" w:sz="0" w:space="0" w:color="auto"/>
                        <w:bottom w:val="none" w:sz="0" w:space="0" w:color="auto"/>
                        <w:right w:val="none" w:sz="0" w:space="0" w:color="auto"/>
                      </w:divBdr>
                      <w:divsChild>
                        <w:div w:id="1841657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2934794">
                              <w:marLeft w:val="0"/>
                              <w:marRight w:val="0"/>
                              <w:marTop w:val="0"/>
                              <w:marBottom w:val="0"/>
                              <w:divBdr>
                                <w:top w:val="none" w:sz="0" w:space="0" w:color="auto"/>
                                <w:left w:val="none" w:sz="0" w:space="0" w:color="auto"/>
                                <w:bottom w:val="none" w:sz="0" w:space="0" w:color="auto"/>
                                <w:right w:val="none" w:sz="0" w:space="0" w:color="auto"/>
                              </w:divBdr>
                              <w:divsChild>
                                <w:div w:id="219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50516">
      <w:bodyDiv w:val="1"/>
      <w:marLeft w:val="0"/>
      <w:marRight w:val="0"/>
      <w:marTop w:val="0"/>
      <w:marBottom w:val="0"/>
      <w:divBdr>
        <w:top w:val="none" w:sz="0" w:space="0" w:color="auto"/>
        <w:left w:val="none" w:sz="0" w:space="0" w:color="auto"/>
        <w:bottom w:val="none" w:sz="0" w:space="0" w:color="auto"/>
        <w:right w:val="none" w:sz="0" w:space="0" w:color="auto"/>
      </w:divBdr>
    </w:div>
    <w:div w:id="1922132598">
      <w:marLeft w:val="0"/>
      <w:marRight w:val="0"/>
      <w:marTop w:val="0"/>
      <w:marBottom w:val="0"/>
      <w:divBdr>
        <w:top w:val="none" w:sz="0" w:space="0" w:color="auto"/>
        <w:left w:val="none" w:sz="0" w:space="0" w:color="auto"/>
        <w:bottom w:val="none" w:sz="0" w:space="0" w:color="auto"/>
        <w:right w:val="none" w:sz="0" w:space="0" w:color="auto"/>
      </w:divBdr>
    </w:div>
    <w:div w:id="1922132599">
      <w:marLeft w:val="0"/>
      <w:marRight w:val="0"/>
      <w:marTop w:val="0"/>
      <w:marBottom w:val="0"/>
      <w:divBdr>
        <w:top w:val="none" w:sz="0" w:space="0" w:color="auto"/>
        <w:left w:val="none" w:sz="0" w:space="0" w:color="auto"/>
        <w:bottom w:val="none" w:sz="0" w:space="0" w:color="auto"/>
        <w:right w:val="none" w:sz="0" w:space="0" w:color="auto"/>
      </w:divBdr>
      <w:divsChild>
        <w:div w:id="1922132597">
          <w:marLeft w:val="0"/>
          <w:marRight w:val="0"/>
          <w:marTop w:val="0"/>
          <w:marBottom w:val="0"/>
          <w:divBdr>
            <w:top w:val="none" w:sz="0" w:space="0" w:color="auto"/>
            <w:left w:val="none" w:sz="0" w:space="0" w:color="auto"/>
            <w:bottom w:val="none" w:sz="0" w:space="0" w:color="auto"/>
            <w:right w:val="none" w:sz="0" w:space="0" w:color="auto"/>
          </w:divBdr>
          <w:divsChild>
            <w:div w:id="1922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603">
      <w:marLeft w:val="0"/>
      <w:marRight w:val="0"/>
      <w:marTop w:val="0"/>
      <w:marBottom w:val="0"/>
      <w:divBdr>
        <w:top w:val="none" w:sz="0" w:space="0" w:color="auto"/>
        <w:left w:val="none" w:sz="0" w:space="0" w:color="auto"/>
        <w:bottom w:val="none" w:sz="0" w:space="0" w:color="auto"/>
        <w:right w:val="none" w:sz="0" w:space="0" w:color="auto"/>
      </w:divBdr>
    </w:div>
    <w:div w:id="1922132604">
      <w:marLeft w:val="0"/>
      <w:marRight w:val="0"/>
      <w:marTop w:val="0"/>
      <w:marBottom w:val="0"/>
      <w:divBdr>
        <w:top w:val="none" w:sz="0" w:space="0" w:color="auto"/>
        <w:left w:val="none" w:sz="0" w:space="0" w:color="auto"/>
        <w:bottom w:val="none" w:sz="0" w:space="0" w:color="auto"/>
        <w:right w:val="none" w:sz="0" w:space="0" w:color="auto"/>
      </w:divBdr>
    </w:div>
    <w:div w:id="1922132605">
      <w:marLeft w:val="0"/>
      <w:marRight w:val="0"/>
      <w:marTop w:val="0"/>
      <w:marBottom w:val="0"/>
      <w:divBdr>
        <w:top w:val="none" w:sz="0" w:space="0" w:color="auto"/>
        <w:left w:val="none" w:sz="0" w:space="0" w:color="auto"/>
        <w:bottom w:val="none" w:sz="0" w:space="0" w:color="auto"/>
        <w:right w:val="none" w:sz="0" w:space="0" w:color="auto"/>
      </w:divBdr>
    </w:div>
    <w:div w:id="1922132606">
      <w:marLeft w:val="0"/>
      <w:marRight w:val="0"/>
      <w:marTop w:val="0"/>
      <w:marBottom w:val="0"/>
      <w:divBdr>
        <w:top w:val="none" w:sz="0" w:space="0" w:color="auto"/>
        <w:left w:val="none" w:sz="0" w:space="0" w:color="auto"/>
        <w:bottom w:val="none" w:sz="0" w:space="0" w:color="auto"/>
        <w:right w:val="none" w:sz="0" w:space="0" w:color="auto"/>
      </w:divBdr>
    </w:div>
    <w:div w:id="1922132607">
      <w:marLeft w:val="0"/>
      <w:marRight w:val="0"/>
      <w:marTop w:val="0"/>
      <w:marBottom w:val="0"/>
      <w:divBdr>
        <w:top w:val="none" w:sz="0" w:space="0" w:color="auto"/>
        <w:left w:val="none" w:sz="0" w:space="0" w:color="auto"/>
        <w:bottom w:val="none" w:sz="0" w:space="0" w:color="auto"/>
        <w:right w:val="none" w:sz="0" w:space="0" w:color="auto"/>
      </w:divBdr>
    </w:div>
    <w:div w:id="1922132608">
      <w:marLeft w:val="0"/>
      <w:marRight w:val="0"/>
      <w:marTop w:val="0"/>
      <w:marBottom w:val="0"/>
      <w:divBdr>
        <w:top w:val="none" w:sz="0" w:space="0" w:color="auto"/>
        <w:left w:val="none" w:sz="0" w:space="0" w:color="auto"/>
        <w:bottom w:val="none" w:sz="0" w:space="0" w:color="auto"/>
        <w:right w:val="none" w:sz="0" w:space="0" w:color="auto"/>
      </w:divBdr>
      <w:divsChild>
        <w:div w:id="1922132600">
          <w:marLeft w:val="0"/>
          <w:marRight w:val="0"/>
          <w:marTop w:val="0"/>
          <w:marBottom w:val="0"/>
          <w:divBdr>
            <w:top w:val="none" w:sz="0" w:space="0" w:color="auto"/>
            <w:left w:val="none" w:sz="0" w:space="0" w:color="auto"/>
            <w:bottom w:val="none" w:sz="0" w:space="0" w:color="auto"/>
            <w:right w:val="none" w:sz="0" w:space="0" w:color="auto"/>
          </w:divBdr>
          <w:divsChild>
            <w:div w:id="1922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6014">
      <w:bodyDiv w:val="1"/>
      <w:marLeft w:val="0"/>
      <w:marRight w:val="0"/>
      <w:marTop w:val="0"/>
      <w:marBottom w:val="0"/>
      <w:divBdr>
        <w:top w:val="none" w:sz="0" w:space="0" w:color="auto"/>
        <w:left w:val="none" w:sz="0" w:space="0" w:color="auto"/>
        <w:bottom w:val="none" w:sz="0" w:space="0" w:color="auto"/>
        <w:right w:val="none" w:sz="0" w:space="0" w:color="auto"/>
      </w:divBdr>
    </w:div>
    <w:div w:id="2112971984">
      <w:bodyDiv w:val="1"/>
      <w:marLeft w:val="0"/>
      <w:marRight w:val="0"/>
      <w:marTop w:val="0"/>
      <w:marBottom w:val="0"/>
      <w:divBdr>
        <w:top w:val="none" w:sz="0" w:space="0" w:color="auto"/>
        <w:left w:val="none" w:sz="0" w:space="0" w:color="auto"/>
        <w:bottom w:val="none" w:sz="0" w:space="0" w:color="auto"/>
        <w:right w:val="none" w:sz="0" w:space="0" w:color="auto"/>
      </w:divBdr>
    </w:div>
    <w:div w:id="21469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plc.com/investors/2018-first-quarter-trading-update" TargetMode="External"/><Relationship Id="rId13" Type="http://schemas.openxmlformats.org/officeDocument/2006/relationships/hyperlink" Target="http://www.ihg.com/evenhotels/hotels/us/en/reservation" TargetMode="External"/><Relationship Id="rId18" Type="http://schemas.openxmlformats.org/officeDocument/2006/relationships/hyperlink" Target="https://www.ihg.com/holidayinnclubvacations/hotels/us/en/reservation" TargetMode="External"/><Relationship Id="rId26" Type="http://schemas.openxmlformats.org/officeDocument/2006/relationships/hyperlink" Target="http://www.ihg.com/rewardsclub/gb/en/home" TargetMode="External"/><Relationship Id="rId3" Type="http://schemas.openxmlformats.org/officeDocument/2006/relationships/styles" Target="styles.xml"/><Relationship Id="rId21" Type="http://schemas.openxmlformats.org/officeDocument/2006/relationships/hyperlink" Target="http://www.ihg.com/staybridge/hotels/gb/en/reserv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hg.com/hotelindigo/hotels/us/en/reservation" TargetMode="External"/><Relationship Id="rId17" Type="http://schemas.openxmlformats.org/officeDocument/2006/relationships/hyperlink" Target="http://www.ihg.com/holidayinnexpress/hotels/gb/en/reservation" TargetMode="External"/><Relationship Id="rId25" Type="http://schemas.openxmlformats.org/officeDocument/2006/relationships/hyperlink" Target="http://www.ihg.com/hotels/gb/en/reservati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hg.com/holidayinn/hotels/gb/en/reservation" TargetMode="External"/><Relationship Id="rId20" Type="http://schemas.openxmlformats.org/officeDocument/2006/relationships/hyperlink" Target="https://www.ihgplc.com/en/news-and-media/news-releases/2017/ihgs-avid-hotels-to-extend-companys-midscale--leadership" TargetMode="External"/><Relationship Id="rId29" Type="http://schemas.openxmlformats.org/officeDocument/2006/relationships/hyperlink" Target="http://www.facebook.com/ih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mptonhotels.com/" TargetMode="External"/><Relationship Id="rId24" Type="http://schemas.openxmlformats.org/officeDocument/2006/relationships/hyperlink" Target="http://www.ihgplc.com/index.as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hg.com/crowneplaza/hotels/gb/en/reservation" TargetMode="External"/><Relationship Id="rId23" Type="http://schemas.openxmlformats.org/officeDocument/2006/relationships/hyperlink" Target="http://www.ihg.com/rewardsclub/gb/en/home" TargetMode="External"/><Relationship Id="rId28" Type="http://schemas.openxmlformats.org/officeDocument/2006/relationships/hyperlink" Target="http://www.twitter.com/ihg" TargetMode="External"/><Relationship Id="rId10" Type="http://schemas.openxmlformats.org/officeDocument/2006/relationships/hyperlink" Target="http://www.intercontinental.com/hotels/gb/en/reservation" TargetMode="External"/><Relationship Id="rId19" Type="http://schemas.openxmlformats.org/officeDocument/2006/relationships/hyperlink" Target="https://www.ihg.com/holidayinnresorts/hotels/gb/en/reserva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hgplc.com/index.asp" TargetMode="External"/><Relationship Id="rId14" Type="http://schemas.openxmlformats.org/officeDocument/2006/relationships/hyperlink" Target="http://cn.ihg.com/hualuxe?scmisc=header_vn" TargetMode="External"/><Relationship Id="rId22" Type="http://schemas.openxmlformats.org/officeDocument/2006/relationships/hyperlink" Target="http://www.ihg.com/candlewood/hotels/us/en/reservation" TargetMode="External"/><Relationship Id="rId27" Type="http://schemas.openxmlformats.org/officeDocument/2006/relationships/hyperlink" Target="http://www.ihgplc.com/media" TargetMode="External"/><Relationship Id="rId30" Type="http://schemas.openxmlformats.org/officeDocument/2006/relationships/hyperlink" Target="http://www.youtube.com/ihgp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0C02-B21C-4CB2-B73F-30BFDD06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2042</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GROUP PROFIT AND LOSS ACCOUNT</vt:lpstr>
    </vt:vector>
  </TitlesOfParts>
  <Company>IHG</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PROFIT AND LOSS ACCOUNT</dc:title>
  <dc:creator>Christina Neal</dc:creator>
  <cp:lastModifiedBy>Yates, Tom (IHG)</cp:lastModifiedBy>
  <cp:revision>3</cp:revision>
  <cp:lastPrinted>2018-05-02T07:50:00Z</cp:lastPrinted>
  <dcterms:created xsi:type="dcterms:W3CDTF">2018-05-03T14:11:00Z</dcterms:created>
  <dcterms:modified xsi:type="dcterms:W3CDTF">2018-05-03T14:12:00Z</dcterms:modified>
</cp:coreProperties>
</file>