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F5" w:rsidRPr="009D430E" w:rsidRDefault="00D564F5" w:rsidP="009D430E">
      <w:pPr>
        <w:spacing w:before="60" w:after="60"/>
        <w:outlineLvl w:val="0"/>
        <w:rPr>
          <w:rFonts w:ascii="Arial" w:hAnsi="Arial" w:cs="Arial"/>
        </w:rPr>
      </w:pPr>
    </w:p>
    <w:p w:rsidR="00473859" w:rsidRPr="009D430E" w:rsidRDefault="00F1057A" w:rsidP="009D430E">
      <w:pPr>
        <w:tabs>
          <w:tab w:val="left" w:pos="825"/>
        </w:tabs>
        <w:spacing w:before="60" w:after="60"/>
        <w:outlineLvl w:val="0"/>
        <w:rPr>
          <w:rFonts w:ascii="Arial" w:hAnsi="Arial" w:cs="Arial"/>
        </w:rPr>
      </w:pPr>
      <w:r w:rsidRPr="009D430E">
        <w:rPr>
          <w:rFonts w:ascii="Arial" w:hAnsi="Arial" w:cs="Arial"/>
        </w:rPr>
        <w:t>8 May 2015</w:t>
      </w:r>
    </w:p>
    <w:p w:rsidR="00473859" w:rsidRPr="009D430E" w:rsidRDefault="00473859" w:rsidP="009D430E">
      <w:pPr>
        <w:spacing w:before="60" w:after="60"/>
        <w:jc w:val="center"/>
        <w:outlineLvl w:val="0"/>
        <w:rPr>
          <w:rFonts w:ascii="Arial" w:hAnsi="Arial" w:cs="Arial"/>
          <w:b/>
        </w:rPr>
      </w:pPr>
      <w:r w:rsidRPr="009D430E">
        <w:rPr>
          <w:rFonts w:ascii="Arial" w:hAnsi="Arial" w:cs="Arial"/>
          <w:b/>
        </w:rPr>
        <w:t>InterContinental Hotels Group PLC</w:t>
      </w:r>
    </w:p>
    <w:p w:rsidR="00473859" w:rsidRPr="009D430E" w:rsidRDefault="00F1057A" w:rsidP="009D430E">
      <w:pPr>
        <w:spacing w:before="60" w:after="60"/>
        <w:jc w:val="center"/>
        <w:outlineLvl w:val="0"/>
        <w:rPr>
          <w:rFonts w:ascii="Arial" w:hAnsi="Arial" w:cs="Arial"/>
        </w:rPr>
      </w:pPr>
      <w:r w:rsidRPr="009D430E">
        <w:rPr>
          <w:rFonts w:ascii="Arial" w:hAnsi="Arial" w:cs="Arial"/>
        </w:rPr>
        <w:t>First</w:t>
      </w:r>
      <w:r w:rsidR="00473859" w:rsidRPr="009D430E">
        <w:rPr>
          <w:rFonts w:ascii="Arial" w:hAnsi="Arial" w:cs="Arial"/>
        </w:rPr>
        <w:t xml:space="preserve"> Quarter </w:t>
      </w:r>
      <w:r w:rsidR="001658D7">
        <w:rPr>
          <w:rFonts w:ascii="Arial" w:hAnsi="Arial" w:cs="Arial"/>
        </w:rPr>
        <w:t>Interim Management Statement</w:t>
      </w:r>
    </w:p>
    <w:p w:rsidR="00473859" w:rsidRPr="009D430E" w:rsidRDefault="00EF3E61" w:rsidP="009D430E">
      <w:pPr>
        <w:spacing w:before="60" w:after="60"/>
        <w:jc w:val="center"/>
        <w:outlineLvl w:val="0"/>
        <w:rPr>
          <w:rFonts w:ascii="Arial" w:hAnsi="Arial" w:cs="Arial"/>
          <w:b/>
        </w:rPr>
      </w:pPr>
      <w:r>
        <w:rPr>
          <w:rFonts w:ascii="Arial" w:hAnsi="Arial" w:cs="Arial"/>
          <w:b/>
        </w:rPr>
        <w:t xml:space="preserve">Strong </w:t>
      </w:r>
      <w:r w:rsidR="009266D1" w:rsidRPr="009D430E">
        <w:rPr>
          <w:rFonts w:ascii="Arial" w:hAnsi="Arial" w:cs="Arial"/>
          <w:b/>
        </w:rPr>
        <w:t>first qu</w:t>
      </w:r>
      <w:r w:rsidR="00845992" w:rsidRPr="009D430E">
        <w:rPr>
          <w:rFonts w:ascii="Arial" w:hAnsi="Arial" w:cs="Arial"/>
          <w:b/>
        </w:rPr>
        <w:t>arter performance</w:t>
      </w:r>
      <w:r>
        <w:rPr>
          <w:rFonts w:ascii="Arial" w:hAnsi="Arial" w:cs="Arial"/>
          <w:b/>
        </w:rPr>
        <w:t xml:space="preserve"> with RevPAR growth </w:t>
      </w:r>
      <w:r w:rsidR="00D31900">
        <w:rPr>
          <w:rFonts w:ascii="Arial" w:hAnsi="Arial" w:cs="Arial"/>
          <w:b/>
        </w:rPr>
        <w:t>in all</w:t>
      </w:r>
      <w:r>
        <w:rPr>
          <w:rFonts w:ascii="Arial" w:hAnsi="Arial" w:cs="Arial"/>
          <w:b/>
        </w:rPr>
        <w:t xml:space="preserve"> regions</w:t>
      </w:r>
    </w:p>
    <w:tbl>
      <w:tblPr>
        <w:tblW w:w="10348" w:type="dxa"/>
        <w:tblInd w:w="25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348"/>
      </w:tblGrid>
      <w:tr w:rsidR="00473859" w:rsidRPr="009D430E" w:rsidTr="00B07756">
        <w:trPr>
          <w:trHeight w:val="70"/>
        </w:trPr>
        <w:tc>
          <w:tcPr>
            <w:tcW w:w="10348" w:type="dxa"/>
            <w:tcBorders>
              <w:top w:val="single" w:sz="4" w:space="0" w:color="auto"/>
              <w:bottom w:val="single" w:sz="4" w:space="0" w:color="auto"/>
            </w:tcBorders>
          </w:tcPr>
          <w:p w:rsidR="00473859" w:rsidRPr="009D430E" w:rsidRDefault="00473859" w:rsidP="009D430E">
            <w:pPr>
              <w:spacing w:before="60" w:after="60"/>
              <w:rPr>
                <w:rFonts w:ascii="Arial" w:hAnsi="Arial" w:cs="Arial"/>
                <w:b/>
              </w:rPr>
            </w:pPr>
            <w:r w:rsidRPr="009D430E">
              <w:rPr>
                <w:rFonts w:ascii="Arial" w:hAnsi="Arial" w:cs="Arial"/>
                <w:b/>
              </w:rPr>
              <w:t>Highlights</w:t>
            </w:r>
          </w:p>
        </w:tc>
      </w:tr>
      <w:tr w:rsidR="00B07756" w:rsidRPr="009D430E" w:rsidTr="00B07756">
        <w:trPr>
          <w:trHeight w:val="70"/>
        </w:trPr>
        <w:tc>
          <w:tcPr>
            <w:tcW w:w="10348" w:type="dxa"/>
            <w:tcBorders>
              <w:top w:val="single" w:sz="4" w:space="0" w:color="auto"/>
            </w:tcBorders>
          </w:tcPr>
          <w:p w:rsidR="00B07756" w:rsidRDefault="00B07756" w:rsidP="00B07756">
            <w:pPr>
              <w:numPr>
                <w:ilvl w:val="0"/>
                <w:numId w:val="9"/>
              </w:numPr>
              <w:spacing w:before="60" w:after="60"/>
              <w:ind w:left="426" w:hanging="284"/>
              <w:rPr>
                <w:rFonts w:ascii="Arial" w:hAnsi="Arial" w:cs="Arial"/>
                <w:b/>
              </w:rPr>
            </w:pPr>
            <w:r w:rsidRPr="009D430E">
              <w:rPr>
                <w:rFonts w:ascii="Arial" w:hAnsi="Arial" w:cs="Arial"/>
                <w:b/>
              </w:rPr>
              <w:t xml:space="preserve">Global Q1 comparable RevPAR </w:t>
            </w:r>
            <w:r w:rsidR="00A351E6">
              <w:rPr>
                <w:rFonts w:ascii="Arial" w:hAnsi="Arial" w:cs="Arial"/>
                <w:b/>
              </w:rPr>
              <w:t>up</w:t>
            </w:r>
            <w:r w:rsidRPr="009D430E">
              <w:rPr>
                <w:rFonts w:ascii="Arial" w:hAnsi="Arial" w:cs="Arial"/>
                <w:b/>
              </w:rPr>
              <w:t xml:space="preserve"> 5.9%</w:t>
            </w:r>
            <w:r w:rsidR="003F4A19">
              <w:rPr>
                <w:rStyle w:val="FootnoteReference"/>
                <w:rFonts w:ascii="Arial" w:hAnsi="Arial"/>
                <w:b/>
              </w:rPr>
              <w:footnoteReference w:id="1"/>
            </w:r>
            <w:r w:rsidR="00D22B4B">
              <w:rPr>
                <w:rFonts w:ascii="Arial" w:hAnsi="Arial" w:cs="Arial"/>
                <w:b/>
              </w:rPr>
              <w:t>,</w:t>
            </w:r>
            <w:r w:rsidRPr="009D430E">
              <w:rPr>
                <w:rFonts w:ascii="Arial" w:hAnsi="Arial" w:cs="Arial"/>
                <w:b/>
              </w:rPr>
              <w:t xml:space="preserve"> </w:t>
            </w:r>
            <w:r>
              <w:rPr>
                <w:rFonts w:ascii="Arial" w:hAnsi="Arial" w:cs="Arial"/>
                <w:b/>
              </w:rPr>
              <w:t>driven by rate up 3.4% and growth in all four regions.</w:t>
            </w:r>
          </w:p>
          <w:p w:rsidR="00B07756" w:rsidRPr="00E4049F" w:rsidRDefault="00B07756" w:rsidP="00B07756">
            <w:pPr>
              <w:numPr>
                <w:ilvl w:val="0"/>
                <w:numId w:val="9"/>
              </w:numPr>
              <w:spacing w:before="60" w:after="60"/>
              <w:ind w:left="426" w:hanging="284"/>
              <w:rPr>
                <w:rFonts w:ascii="Arial" w:hAnsi="Arial" w:cs="Arial"/>
                <w:b/>
              </w:rPr>
            </w:pPr>
            <w:r w:rsidRPr="00E4049F">
              <w:rPr>
                <w:rFonts w:ascii="Arial" w:hAnsi="Arial" w:cs="Arial"/>
                <w:b/>
              </w:rPr>
              <w:t>Increasing our global scale: net system size of 723k rooms, up 4.9% year on year</w:t>
            </w:r>
            <w:r>
              <w:rPr>
                <w:rFonts w:ascii="Arial" w:hAnsi="Arial" w:cs="Arial"/>
                <w:b/>
              </w:rPr>
              <w:t xml:space="preserve"> (3.3% excluding Kimpton)</w:t>
            </w:r>
            <w:r w:rsidRPr="00E4049F">
              <w:rPr>
                <w:rFonts w:ascii="Arial" w:hAnsi="Arial" w:cs="Arial"/>
                <w:b/>
              </w:rPr>
              <w:t>; 14k rooms signed into our 201k room pipeline</w:t>
            </w:r>
            <w:r>
              <w:rPr>
                <w:rFonts w:ascii="Arial" w:hAnsi="Arial" w:cs="Arial"/>
                <w:b/>
              </w:rPr>
              <w:t>,</w:t>
            </w:r>
            <w:r w:rsidRPr="00E4049F">
              <w:rPr>
                <w:rFonts w:ascii="Arial" w:hAnsi="Arial" w:cs="Arial"/>
                <w:b/>
              </w:rPr>
              <w:t xml:space="preserve"> highest Q1 hotel signings in seven years.</w:t>
            </w:r>
          </w:p>
          <w:p w:rsidR="00B07756" w:rsidRDefault="00B07756" w:rsidP="00B07756">
            <w:pPr>
              <w:numPr>
                <w:ilvl w:val="0"/>
                <w:numId w:val="9"/>
              </w:numPr>
              <w:spacing w:before="60" w:after="60"/>
              <w:ind w:left="426" w:hanging="284"/>
              <w:rPr>
                <w:rFonts w:ascii="Arial" w:hAnsi="Arial" w:cs="Arial"/>
                <w:b/>
              </w:rPr>
            </w:pPr>
            <w:r>
              <w:rPr>
                <w:rFonts w:ascii="Arial" w:hAnsi="Arial" w:cs="Arial"/>
                <w:b/>
              </w:rPr>
              <w:t xml:space="preserve">Continued </w:t>
            </w:r>
            <w:r w:rsidR="00F15980">
              <w:rPr>
                <w:rFonts w:ascii="Arial" w:hAnsi="Arial" w:cs="Arial"/>
                <w:b/>
              </w:rPr>
              <w:t>growth</w:t>
            </w:r>
            <w:r>
              <w:rPr>
                <w:rFonts w:ascii="Arial" w:hAnsi="Arial" w:cs="Arial"/>
                <w:b/>
              </w:rPr>
              <w:t xml:space="preserve"> of our industry-leading boutique hotel brands</w:t>
            </w:r>
            <w:r w:rsidRPr="00F43206">
              <w:rPr>
                <w:rFonts w:ascii="Arial" w:hAnsi="Arial" w:cs="Arial"/>
                <w:b/>
              </w:rPr>
              <w:t xml:space="preserve"> </w:t>
            </w:r>
            <w:r>
              <w:rPr>
                <w:rFonts w:ascii="Arial" w:hAnsi="Arial" w:cs="Arial"/>
                <w:b/>
              </w:rPr>
              <w:t xml:space="preserve">with strong US RevPAR </w:t>
            </w:r>
            <w:r w:rsidR="00F15980">
              <w:rPr>
                <w:rFonts w:ascii="Arial" w:hAnsi="Arial" w:cs="Arial"/>
                <w:b/>
              </w:rPr>
              <w:t>performance</w:t>
            </w:r>
            <w:r>
              <w:rPr>
                <w:rFonts w:ascii="Arial" w:hAnsi="Arial" w:cs="Arial"/>
                <w:b/>
              </w:rPr>
              <w:t xml:space="preserve"> and an expanding global presence.</w:t>
            </w:r>
          </w:p>
          <w:p w:rsidR="00B07756" w:rsidRPr="00B07756" w:rsidRDefault="00A351E6" w:rsidP="00F15980">
            <w:pPr>
              <w:numPr>
                <w:ilvl w:val="0"/>
                <w:numId w:val="9"/>
              </w:numPr>
              <w:spacing w:before="60" w:after="60"/>
              <w:ind w:left="426" w:hanging="284"/>
              <w:rPr>
                <w:rFonts w:ascii="Arial" w:hAnsi="Arial" w:cs="Arial"/>
                <w:b/>
              </w:rPr>
            </w:pPr>
            <w:r>
              <w:rPr>
                <w:rFonts w:ascii="Arial" w:hAnsi="Arial" w:cs="Arial"/>
                <w:b/>
              </w:rPr>
              <w:t>Strategic</w:t>
            </w:r>
            <w:r w:rsidR="00F15980">
              <w:rPr>
                <w:rFonts w:ascii="Arial" w:hAnsi="Arial" w:cs="Arial"/>
                <w:b/>
              </w:rPr>
              <w:t xml:space="preserve"> relationship</w:t>
            </w:r>
            <w:r w:rsidR="00B07756">
              <w:rPr>
                <w:rFonts w:ascii="Arial" w:hAnsi="Arial" w:cs="Arial"/>
                <w:b/>
              </w:rPr>
              <w:t xml:space="preserve"> </w:t>
            </w:r>
            <w:r w:rsidR="00B07756" w:rsidRPr="00270460">
              <w:rPr>
                <w:rFonts w:ascii="Arial" w:hAnsi="Arial" w:cs="Arial"/>
                <w:b/>
              </w:rPr>
              <w:t xml:space="preserve">with Amadeus to </w:t>
            </w:r>
            <w:r w:rsidR="00B07756">
              <w:rPr>
                <w:rFonts w:ascii="Arial" w:hAnsi="Arial" w:cs="Arial"/>
                <w:b/>
              </w:rPr>
              <w:t>revolutionise the technological foundations of the global hospitality industry and develop a next generation Guest Reservation System</w:t>
            </w:r>
            <w:r w:rsidR="00B07756" w:rsidRPr="00270460">
              <w:rPr>
                <w:rFonts w:ascii="Arial" w:hAnsi="Arial" w:cs="Arial"/>
                <w:b/>
              </w:rPr>
              <w:t>.</w:t>
            </w:r>
          </w:p>
        </w:tc>
      </w:tr>
    </w:tbl>
    <w:p w:rsidR="00B07756" w:rsidRPr="00B07756" w:rsidRDefault="00B07756">
      <w:pPr>
        <w:rPr>
          <w:sz w:val="10"/>
          <w:szCs w:val="1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473859" w:rsidRPr="009D430E" w:rsidTr="00B07756">
        <w:trPr>
          <w:trHeight w:val="70"/>
        </w:trPr>
        <w:tc>
          <w:tcPr>
            <w:tcW w:w="10348" w:type="dxa"/>
          </w:tcPr>
          <w:p w:rsidR="00473859" w:rsidRPr="009D430E" w:rsidRDefault="00473859" w:rsidP="009D430E">
            <w:pPr>
              <w:spacing w:before="60" w:after="60"/>
              <w:rPr>
                <w:rFonts w:ascii="Arial" w:hAnsi="Arial" w:cs="Arial"/>
                <w:b/>
              </w:rPr>
            </w:pPr>
            <w:r w:rsidRPr="009D430E">
              <w:rPr>
                <w:rFonts w:ascii="Arial" w:hAnsi="Arial" w:cs="Arial"/>
                <w:b/>
              </w:rPr>
              <w:t>Richard Solomons, Chief Executive of InterContinental Hotels Group PLC, said:</w:t>
            </w:r>
          </w:p>
        </w:tc>
      </w:tr>
      <w:tr w:rsidR="00473859" w:rsidRPr="009D430E" w:rsidTr="00B07756">
        <w:trPr>
          <w:trHeight w:val="2381"/>
        </w:trPr>
        <w:tc>
          <w:tcPr>
            <w:tcW w:w="10348" w:type="dxa"/>
          </w:tcPr>
          <w:p w:rsidR="00130406" w:rsidRDefault="0014465D" w:rsidP="009D430E">
            <w:pPr>
              <w:spacing w:before="60" w:after="60"/>
              <w:jc w:val="both"/>
              <w:rPr>
                <w:rFonts w:ascii="Arial" w:hAnsi="Arial" w:cs="Arial"/>
              </w:rPr>
            </w:pPr>
            <w:r w:rsidRPr="009D430E">
              <w:rPr>
                <w:rFonts w:ascii="Arial" w:hAnsi="Arial" w:cs="Arial"/>
              </w:rPr>
              <w:t>“</w:t>
            </w:r>
            <w:r w:rsidR="00BC5515" w:rsidRPr="009D430E">
              <w:rPr>
                <w:rFonts w:ascii="Arial" w:hAnsi="Arial" w:cs="Arial"/>
              </w:rPr>
              <w:t xml:space="preserve">We have made a strong start to the year, </w:t>
            </w:r>
            <w:r w:rsidR="00B24C85" w:rsidRPr="009D430E">
              <w:rPr>
                <w:rFonts w:ascii="Arial" w:hAnsi="Arial" w:cs="Arial"/>
              </w:rPr>
              <w:t>executing</w:t>
            </w:r>
            <w:r w:rsidR="00BC5515" w:rsidRPr="009D430E">
              <w:rPr>
                <w:rFonts w:ascii="Arial" w:hAnsi="Arial" w:cs="Arial"/>
              </w:rPr>
              <w:t xml:space="preserve"> against our </w:t>
            </w:r>
            <w:r w:rsidR="001B15C5" w:rsidRPr="009D430E">
              <w:rPr>
                <w:rFonts w:ascii="Arial" w:hAnsi="Arial" w:cs="Arial"/>
              </w:rPr>
              <w:t xml:space="preserve">winning </w:t>
            </w:r>
            <w:r w:rsidR="00BC5515" w:rsidRPr="009D430E">
              <w:rPr>
                <w:rFonts w:ascii="Arial" w:hAnsi="Arial" w:cs="Arial"/>
              </w:rPr>
              <w:t>strategy to deliver</w:t>
            </w:r>
            <w:r w:rsidR="001B15C5" w:rsidRPr="009D430E">
              <w:rPr>
                <w:rFonts w:ascii="Arial" w:hAnsi="Arial" w:cs="Arial"/>
              </w:rPr>
              <w:t xml:space="preserve"> RevPAR growth of 5.9%</w:t>
            </w:r>
            <w:r w:rsidR="00C76A96">
              <w:rPr>
                <w:rFonts w:ascii="Arial" w:hAnsi="Arial" w:cs="Arial"/>
              </w:rPr>
              <w:t xml:space="preserve">. We achieved </w:t>
            </w:r>
            <w:r w:rsidR="00270460">
              <w:rPr>
                <w:rFonts w:ascii="Arial" w:hAnsi="Arial" w:cs="Arial"/>
              </w:rPr>
              <w:t xml:space="preserve">our highest first quarter </w:t>
            </w:r>
            <w:r w:rsidR="00130406">
              <w:rPr>
                <w:rFonts w:ascii="Arial" w:hAnsi="Arial" w:cs="Arial"/>
              </w:rPr>
              <w:t xml:space="preserve">for </w:t>
            </w:r>
            <w:r w:rsidR="00AE4F56">
              <w:rPr>
                <w:rFonts w:ascii="Arial" w:hAnsi="Arial" w:cs="Arial"/>
              </w:rPr>
              <w:t xml:space="preserve">hotel </w:t>
            </w:r>
            <w:r w:rsidR="00130406">
              <w:rPr>
                <w:rFonts w:ascii="Arial" w:hAnsi="Arial" w:cs="Arial"/>
              </w:rPr>
              <w:t>signings in seven years</w:t>
            </w:r>
            <w:r w:rsidR="005E45B4">
              <w:rPr>
                <w:rFonts w:ascii="Arial" w:hAnsi="Arial" w:cs="Arial"/>
              </w:rPr>
              <w:t>,</w:t>
            </w:r>
            <w:r w:rsidR="00130406">
              <w:rPr>
                <w:rFonts w:ascii="Arial" w:hAnsi="Arial" w:cs="Arial"/>
              </w:rPr>
              <w:t xml:space="preserve"> and </w:t>
            </w:r>
            <w:r w:rsidR="00142AB6" w:rsidRPr="009D430E">
              <w:rPr>
                <w:rFonts w:ascii="Arial" w:hAnsi="Arial" w:cs="Arial"/>
              </w:rPr>
              <w:t xml:space="preserve">openings </w:t>
            </w:r>
            <w:r w:rsidR="00130406">
              <w:rPr>
                <w:rFonts w:ascii="Arial" w:hAnsi="Arial" w:cs="Arial"/>
              </w:rPr>
              <w:t>in</w:t>
            </w:r>
            <w:r w:rsidR="00D31900">
              <w:rPr>
                <w:rFonts w:ascii="Arial" w:hAnsi="Arial" w:cs="Arial"/>
              </w:rPr>
              <w:t xml:space="preserve"> five</w:t>
            </w:r>
            <w:r w:rsidR="001B15C5" w:rsidRPr="009D430E">
              <w:rPr>
                <w:rFonts w:ascii="Arial" w:hAnsi="Arial" w:cs="Arial"/>
              </w:rPr>
              <w:t xml:space="preserve"> years,</w:t>
            </w:r>
            <w:r w:rsidR="00130406">
              <w:rPr>
                <w:rFonts w:ascii="Arial" w:hAnsi="Arial" w:cs="Arial"/>
              </w:rPr>
              <w:t xml:space="preserve"> </w:t>
            </w:r>
            <w:r w:rsidR="00130406" w:rsidRPr="009D430E">
              <w:rPr>
                <w:rFonts w:ascii="Arial" w:hAnsi="Arial" w:cs="Arial"/>
              </w:rPr>
              <w:t xml:space="preserve">demonstrating the </w:t>
            </w:r>
            <w:r w:rsidR="00130406">
              <w:rPr>
                <w:rFonts w:ascii="Arial" w:hAnsi="Arial" w:cs="Arial"/>
              </w:rPr>
              <w:t xml:space="preserve">continued </w:t>
            </w:r>
            <w:r w:rsidR="004271A8">
              <w:rPr>
                <w:rFonts w:ascii="Arial" w:hAnsi="Arial" w:cs="Arial"/>
              </w:rPr>
              <w:t>momentum behind both</w:t>
            </w:r>
            <w:r w:rsidR="00D22B4B">
              <w:rPr>
                <w:rFonts w:ascii="Arial" w:hAnsi="Arial" w:cs="Arial"/>
              </w:rPr>
              <w:t xml:space="preserve"> </w:t>
            </w:r>
            <w:r w:rsidR="00130406" w:rsidRPr="009D430E">
              <w:rPr>
                <w:rFonts w:ascii="Arial" w:hAnsi="Arial" w:cs="Arial"/>
              </w:rPr>
              <w:t>our established and new brands.</w:t>
            </w:r>
            <w:r w:rsidR="00130406">
              <w:rPr>
                <w:rFonts w:ascii="Arial" w:hAnsi="Arial" w:cs="Arial"/>
              </w:rPr>
              <w:t xml:space="preserve"> </w:t>
            </w:r>
          </w:p>
          <w:p w:rsidR="00795E48" w:rsidRPr="009D430E" w:rsidRDefault="00795E48" w:rsidP="009D430E">
            <w:pPr>
              <w:spacing w:before="60" w:after="60"/>
              <w:jc w:val="both"/>
              <w:rPr>
                <w:rFonts w:ascii="Arial" w:hAnsi="Arial" w:cs="Arial"/>
              </w:rPr>
            </w:pPr>
            <w:r w:rsidRPr="009D430E">
              <w:rPr>
                <w:rFonts w:ascii="Arial" w:hAnsi="Arial" w:cs="Arial"/>
              </w:rPr>
              <w:t xml:space="preserve">Holiday Inn </w:t>
            </w:r>
            <w:r w:rsidR="00270460">
              <w:rPr>
                <w:rFonts w:ascii="Arial" w:hAnsi="Arial" w:cs="Arial"/>
              </w:rPr>
              <w:t>continues to go from strength to strength</w:t>
            </w:r>
            <w:r w:rsidR="00D31900">
              <w:rPr>
                <w:rFonts w:ascii="Arial" w:hAnsi="Arial" w:cs="Arial"/>
              </w:rPr>
              <w:t>,</w:t>
            </w:r>
            <w:r w:rsidR="00270460">
              <w:rPr>
                <w:rFonts w:ascii="Arial" w:hAnsi="Arial" w:cs="Arial"/>
              </w:rPr>
              <w:t xml:space="preserve"> </w:t>
            </w:r>
            <w:r w:rsidR="00C76A96">
              <w:rPr>
                <w:rFonts w:ascii="Arial" w:hAnsi="Arial" w:cs="Arial"/>
              </w:rPr>
              <w:t>opening in its 75</w:t>
            </w:r>
            <w:r w:rsidR="00C76A96" w:rsidRPr="00C76A96">
              <w:rPr>
                <w:rFonts w:ascii="Arial" w:hAnsi="Arial" w:cs="Arial"/>
                <w:vertAlign w:val="superscript"/>
              </w:rPr>
              <w:t>th</w:t>
            </w:r>
            <w:r w:rsidR="00C76A96">
              <w:rPr>
                <w:rFonts w:ascii="Arial" w:hAnsi="Arial" w:cs="Arial"/>
              </w:rPr>
              <w:t xml:space="preserve"> country, and delivering</w:t>
            </w:r>
            <w:r w:rsidR="00270460">
              <w:rPr>
                <w:rFonts w:ascii="Arial" w:hAnsi="Arial" w:cs="Arial"/>
              </w:rPr>
              <w:t xml:space="preserve"> the highest number of first quarter </w:t>
            </w:r>
            <w:r w:rsidR="000B3478">
              <w:rPr>
                <w:rFonts w:ascii="Arial" w:hAnsi="Arial" w:cs="Arial"/>
              </w:rPr>
              <w:t xml:space="preserve">hotel </w:t>
            </w:r>
            <w:r w:rsidR="00270460">
              <w:rPr>
                <w:rFonts w:ascii="Arial" w:hAnsi="Arial" w:cs="Arial"/>
              </w:rPr>
              <w:t xml:space="preserve">signings since 2008. Our </w:t>
            </w:r>
            <w:r w:rsidR="00C76A96">
              <w:rPr>
                <w:rFonts w:ascii="Arial" w:hAnsi="Arial" w:cs="Arial"/>
              </w:rPr>
              <w:t>industry-leading</w:t>
            </w:r>
            <w:r w:rsidR="00D31900">
              <w:rPr>
                <w:rFonts w:ascii="Arial" w:hAnsi="Arial" w:cs="Arial"/>
              </w:rPr>
              <w:t xml:space="preserve"> </w:t>
            </w:r>
            <w:r w:rsidR="00270460">
              <w:rPr>
                <w:rFonts w:ascii="Arial" w:hAnsi="Arial" w:cs="Arial"/>
              </w:rPr>
              <w:t xml:space="preserve">boutique brands </w:t>
            </w:r>
            <w:r w:rsidR="00835D34">
              <w:rPr>
                <w:rFonts w:ascii="Arial" w:hAnsi="Arial" w:cs="Arial"/>
              </w:rPr>
              <w:t xml:space="preserve">are performing strongly, with </w:t>
            </w:r>
            <w:r w:rsidR="00270460">
              <w:rPr>
                <w:rFonts w:ascii="Arial" w:hAnsi="Arial" w:cs="Arial"/>
              </w:rPr>
              <w:t>high single digit RevPAR growth in the US</w:t>
            </w:r>
            <w:r w:rsidR="00EB50F2">
              <w:rPr>
                <w:rFonts w:ascii="Arial" w:hAnsi="Arial" w:cs="Arial"/>
              </w:rPr>
              <w:t xml:space="preserve"> and</w:t>
            </w:r>
            <w:r w:rsidR="00270460">
              <w:rPr>
                <w:rFonts w:ascii="Arial" w:hAnsi="Arial" w:cs="Arial"/>
              </w:rPr>
              <w:t xml:space="preserve"> </w:t>
            </w:r>
            <w:r w:rsidR="00F15980">
              <w:rPr>
                <w:rFonts w:ascii="Arial" w:hAnsi="Arial" w:cs="Arial"/>
              </w:rPr>
              <w:t>a growing</w:t>
            </w:r>
            <w:r w:rsidR="00C76A96">
              <w:rPr>
                <w:rFonts w:ascii="Arial" w:hAnsi="Arial" w:cs="Arial"/>
              </w:rPr>
              <w:t xml:space="preserve"> geographical distribution. W</w:t>
            </w:r>
            <w:r w:rsidR="00270460">
              <w:rPr>
                <w:rFonts w:ascii="Arial" w:hAnsi="Arial" w:cs="Arial"/>
              </w:rPr>
              <w:t xml:space="preserve">e opened </w:t>
            </w:r>
            <w:r w:rsidRPr="009D430E">
              <w:rPr>
                <w:rFonts w:ascii="Arial" w:hAnsi="Arial" w:cs="Arial"/>
              </w:rPr>
              <w:t xml:space="preserve">Hotel Indigo in </w:t>
            </w:r>
            <w:r w:rsidR="00270460">
              <w:rPr>
                <w:rFonts w:ascii="Arial" w:hAnsi="Arial" w:cs="Arial"/>
              </w:rPr>
              <w:t>two</w:t>
            </w:r>
            <w:r w:rsidRPr="009D430E">
              <w:rPr>
                <w:rFonts w:ascii="Arial" w:hAnsi="Arial" w:cs="Arial"/>
              </w:rPr>
              <w:t xml:space="preserve"> new markets</w:t>
            </w:r>
            <w:r w:rsidR="00D31900">
              <w:rPr>
                <w:rFonts w:ascii="Arial" w:hAnsi="Arial" w:cs="Arial"/>
              </w:rPr>
              <w:t xml:space="preserve">, </w:t>
            </w:r>
            <w:r w:rsidR="00EB50F2">
              <w:rPr>
                <w:rFonts w:ascii="Arial" w:hAnsi="Arial" w:cs="Arial"/>
              </w:rPr>
              <w:t>open</w:t>
            </w:r>
            <w:r w:rsidR="00C76A96">
              <w:rPr>
                <w:rFonts w:ascii="Arial" w:hAnsi="Arial" w:cs="Arial"/>
              </w:rPr>
              <w:t>ed</w:t>
            </w:r>
            <w:r w:rsidR="00D31900">
              <w:rPr>
                <w:rFonts w:ascii="Arial" w:hAnsi="Arial" w:cs="Arial"/>
              </w:rPr>
              <w:t xml:space="preserve"> three</w:t>
            </w:r>
            <w:r w:rsidR="00270460">
              <w:rPr>
                <w:rFonts w:ascii="Arial" w:hAnsi="Arial" w:cs="Arial"/>
              </w:rPr>
              <w:t xml:space="preserve"> Kimpton Hotels</w:t>
            </w:r>
            <w:r w:rsidR="00D31900">
              <w:rPr>
                <w:rFonts w:ascii="Arial" w:hAnsi="Arial" w:cs="Arial"/>
              </w:rPr>
              <w:t xml:space="preserve"> and Restaurants</w:t>
            </w:r>
            <w:r w:rsidR="00270460">
              <w:rPr>
                <w:rFonts w:ascii="Arial" w:hAnsi="Arial" w:cs="Arial"/>
              </w:rPr>
              <w:t xml:space="preserve"> </w:t>
            </w:r>
            <w:r w:rsidRPr="009D430E">
              <w:rPr>
                <w:rFonts w:ascii="Arial" w:hAnsi="Arial" w:cs="Arial"/>
              </w:rPr>
              <w:t xml:space="preserve">and </w:t>
            </w:r>
            <w:r w:rsidR="00B24C85" w:rsidRPr="009D430E">
              <w:rPr>
                <w:rFonts w:ascii="Arial" w:hAnsi="Arial" w:cs="Arial"/>
              </w:rPr>
              <w:t>sign</w:t>
            </w:r>
            <w:r w:rsidR="00C76A96">
              <w:rPr>
                <w:rFonts w:ascii="Arial" w:hAnsi="Arial" w:cs="Arial"/>
              </w:rPr>
              <w:t>ed</w:t>
            </w:r>
            <w:r w:rsidR="00270460">
              <w:rPr>
                <w:rFonts w:ascii="Arial" w:hAnsi="Arial" w:cs="Arial"/>
              </w:rPr>
              <w:t xml:space="preserve"> </w:t>
            </w:r>
            <w:r w:rsidR="00B24C85" w:rsidRPr="009D430E">
              <w:rPr>
                <w:rFonts w:ascii="Arial" w:hAnsi="Arial" w:cs="Arial"/>
              </w:rPr>
              <w:t xml:space="preserve">a </w:t>
            </w:r>
            <w:r w:rsidR="00D31900">
              <w:rPr>
                <w:rFonts w:ascii="Arial" w:hAnsi="Arial" w:cs="Arial"/>
              </w:rPr>
              <w:t>further four</w:t>
            </w:r>
            <w:r w:rsidR="00ED4C9E">
              <w:rPr>
                <w:rFonts w:ascii="Arial" w:hAnsi="Arial" w:cs="Arial"/>
              </w:rPr>
              <w:t>,</w:t>
            </w:r>
            <w:r w:rsidR="00270460">
              <w:rPr>
                <w:rFonts w:ascii="Arial" w:hAnsi="Arial" w:cs="Arial"/>
              </w:rPr>
              <w:t xml:space="preserve"> </w:t>
            </w:r>
            <w:r w:rsidRPr="009D430E">
              <w:rPr>
                <w:rFonts w:ascii="Arial" w:hAnsi="Arial" w:cs="Arial"/>
              </w:rPr>
              <w:t>as we start to leverage our scale</w:t>
            </w:r>
            <w:r w:rsidR="005E45B4">
              <w:rPr>
                <w:rFonts w:ascii="Arial" w:hAnsi="Arial" w:cs="Arial"/>
              </w:rPr>
              <w:t xml:space="preserve">, </w:t>
            </w:r>
            <w:r w:rsidR="002C7955">
              <w:rPr>
                <w:rFonts w:ascii="Arial" w:hAnsi="Arial" w:cs="Arial"/>
              </w:rPr>
              <w:t>growing the bran</w:t>
            </w:r>
            <w:bookmarkStart w:id="0" w:name="_GoBack"/>
            <w:bookmarkEnd w:id="0"/>
            <w:r w:rsidR="002C7955">
              <w:rPr>
                <w:rFonts w:ascii="Arial" w:hAnsi="Arial" w:cs="Arial"/>
              </w:rPr>
              <w:t>d</w:t>
            </w:r>
            <w:r w:rsidR="007801AC">
              <w:rPr>
                <w:rFonts w:ascii="Arial" w:hAnsi="Arial" w:cs="Arial"/>
              </w:rPr>
              <w:t>’</w:t>
            </w:r>
            <w:r w:rsidR="002C7955">
              <w:rPr>
                <w:rFonts w:ascii="Arial" w:hAnsi="Arial" w:cs="Arial"/>
              </w:rPr>
              <w:t xml:space="preserve">s room count by </w:t>
            </w:r>
            <w:r w:rsidR="005E45B4">
              <w:rPr>
                <w:rFonts w:ascii="Arial" w:hAnsi="Arial" w:cs="Arial"/>
              </w:rPr>
              <w:t>almost 5% in the two months since acquisition.</w:t>
            </w:r>
          </w:p>
          <w:p w:rsidR="00473859" w:rsidRPr="009D430E" w:rsidRDefault="002C6E6A" w:rsidP="009D430E">
            <w:pPr>
              <w:spacing w:before="60" w:after="60"/>
              <w:jc w:val="both"/>
              <w:rPr>
                <w:rFonts w:ascii="Arial" w:hAnsi="Arial" w:cs="Arial"/>
              </w:rPr>
            </w:pPr>
            <w:r>
              <w:rPr>
                <w:rFonts w:ascii="Arial" w:hAnsi="Arial" w:cs="Arial"/>
              </w:rPr>
              <w:t xml:space="preserve">We continue </w:t>
            </w:r>
            <w:r w:rsidR="00D31900">
              <w:rPr>
                <w:rFonts w:ascii="Arial" w:hAnsi="Arial" w:cs="Arial"/>
              </w:rPr>
              <w:t xml:space="preserve">to </w:t>
            </w:r>
            <w:r w:rsidR="00C76A96">
              <w:rPr>
                <w:rFonts w:ascii="Arial" w:hAnsi="Arial" w:cs="Arial"/>
              </w:rPr>
              <w:t xml:space="preserve">lead the industry with our focus on </w:t>
            </w:r>
            <w:r w:rsidR="00D31900">
              <w:rPr>
                <w:rFonts w:ascii="Arial" w:hAnsi="Arial" w:cs="Arial"/>
              </w:rPr>
              <w:t>innovation</w:t>
            </w:r>
            <w:r>
              <w:rPr>
                <w:rFonts w:ascii="Arial" w:hAnsi="Arial" w:cs="Arial"/>
              </w:rPr>
              <w:t xml:space="preserve"> in </w:t>
            </w:r>
            <w:r w:rsidR="00DC40C9" w:rsidRPr="009D430E">
              <w:rPr>
                <w:rFonts w:ascii="Arial" w:hAnsi="Arial" w:cs="Arial"/>
              </w:rPr>
              <w:t>technology</w:t>
            </w:r>
            <w:r>
              <w:rPr>
                <w:rFonts w:ascii="Arial" w:hAnsi="Arial" w:cs="Arial"/>
              </w:rPr>
              <w:t>,</w:t>
            </w:r>
            <w:r w:rsidR="00B24C85" w:rsidRPr="009D430E">
              <w:rPr>
                <w:rFonts w:ascii="Arial" w:hAnsi="Arial" w:cs="Arial"/>
              </w:rPr>
              <w:t xml:space="preserve"> </w:t>
            </w:r>
            <w:r w:rsidR="009B7E42">
              <w:rPr>
                <w:rFonts w:ascii="Arial" w:hAnsi="Arial" w:cs="Arial"/>
              </w:rPr>
              <w:t>and through our strategic relationship</w:t>
            </w:r>
            <w:r w:rsidR="00DC40C9" w:rsidRPr="009D430E">
              <w:rPr>
                <w:rFonts w:ascii="Arial" w:hAnsi="Arial" w:cs="Arial"/>
              </w:rPr>
              <w:t xml:space="preserve"> with Amadeus </w:t>
            </w:r>
            <w:r w:rsidR="009B7E42">
              <w:rPr>
                <w:rFonts w:ascii="Arial" w:hAnsi="Arial" w:cs="Arial"/>
              </w:rPr>
              <w:t>we will</w:t>
            </w:r>
            <w:r w:rsidR="00DC40C9" w:rsidRPr="009D430E">
              <w:rPr>
                <w:rFonts w:ascii="Arial" w:hAnsi="Arial" w:cs="Arial"/>
              </w:rPr>
              <w:t xml:space="preserve"> develop the hotel industry’s first cloud</w:t>
            </w:r>
            <w:r>
              <w:rPr>
                <w:rFonts w:ascii="Arial" w:hAnsi="Arial" w:cs="Arial"/>
              </w:rPr>
              <w:t>-</w:t>
            </w:r>
            <w:r w:rsidR="00DC40C9" w:rsidRPr="009D430E">
              <w:rPr>
                <w:rFonts w:ascii="Arial" w:hAnsi="Arial" w:cs="Arial"/>
              </w:rPr>
              <w:t xml:space="preserve">based Guest Reservation System. </w:t>
            </w:r>
            <w:r w:rsidR="00D31900">
              <w:rPr>
                <w:rFonts w:ascii="Arial" w:hAnsi="Arial" w:cs="Arial"/>
              </w:rPr>
              <w:t xml:space="preserve">It </w:t>
            </w:r>
            <w:r w:rsidR="00C76A96">
              <w:rPr>
                <w:rFonts w:ascii="Arial" w:hAnsi="Arial" w:cs="Arial"/>
              </w:rPr>
              <w:t xml:space="preserve">will enable us </w:t>
            </w:r>
            <w:r w:rsidR="00D31900">
              <w:rPr>
                <w:rFonts w:ascii="Arial" w:hAnsi="Arial" w:cs="Arial"/>
              </w:rPr>
              <w:t xml:space="preserve">to shape </w:t>
            </w:r>
            <w:r w:rsidR="00835D34">
              <w:rPr>
                <w:rFonts w:ascii="Arial" w:hAnsi="Arial" w:cs="Arial"/>
              </w:rPr>
              <w:t xml:space="preserve">the future foundations of our </w:t>
            </w:r>
            <w:r w:rsidR="00620CE1">
              <w:rPr>
                <w:rFonts w:ascii="Arial" w:hAnsi="Arial" w:cs="Arial"/>
              </w:rPr>
              <w:t>sector</w:t>
            </w:r>
            <w:r w:rsidR="00835D34">
              <w:rPr>
                <w:rFonts w:ascii="Arial" w:hAnsi="Arial" w:cs="Arial"/>
              </w:rPr>
              <w:t xml:space="preserve"> and </w:t>
            </w:r>
            <w:r w:rsidR="00D31900">
              <w:rPr>
                <w:rFonts w:ascii="Arial" w:hAnsi="Arial" w:cs="Arial"/>
              </w:rPr>
              <w:t xml:space="preserve">allows us to </w:t>
            </w:r>
            <w:r w:rsidR="00620CE1">
              <w:rPr>
                <w:rFonts w:ascii="Arial" w:hAnsi="Arial" w:cs="Arial"/>
              </w:rPr>
              <w:t>concentrate</w:t>
            </w:r>
            <w:r w:rsidR="00D31900">
              <w:rPr>
                <w:rFonts w:ascii="Arial" w:hAnsi="Arial" w:cs="Arial"/>
              </w:rPr>
              <w:t xml:space="preserve"> on our own bespoke platforms</w:t>
            </w:r>
            <w:r w:rsidR="00ED4C9E">
              <w:rPr>
                <w:rFonts w:ascii="Arial" w:hAnsi="Arial" w:cs="Arial"/>
              </w:rPr>
              <w:t>,</w:t>
            </w:r>
            <w:r w:rsidR="00D31900">
              <w:rPr>
                <w:rFonts w:ascii="Arial" w:hAnsi="Arial" w:cs="Arial"/>
              </w:rPr>
              <w:t xml:space="preserve"> as we </w:t>
            </w:r>
            <w:r w:rsidR="00835D34">
              <w:rPr>
                <w:rFonts w:ascii="Arial" w:hAnsi="Arial" w:cs="Arial"/>
              </w:rPr>
              <w:t xml:space="preserve">accelerate our work to revolutionise </w:t>
            </w:r>
            <w:r w:rsidR="00D31900">
              <w:rPr>
                <w:rFonts w:ascii="Arial" w:hAnsi="Arial" w:cs="Arial"/>
              </w:rPr>
              <w:t xml:space="preserve">and </w:t>
            </w:r>
            <w:r w:rsidR="00835D34">
              <w:rPr>
                <w:rFonts w:ascii="Arial" w:hAnsi="Arial" w:cs="Arial"/>
              </w:rPr>
              <w:t>personalise the guest</w:t>
            </w:r>
            <w:r w:rsidR="00D31900">
              <w:rPr>
                <w:rFonts w:ascii="Arial" w:hAnsi="Arial" w:cs="Arial"/>
              </w:rPr>
              <w:t xml:space="preserve"> experience </w:t>
            </w:r>
            <w:r w:rsidR="00835D34">
              <w:rPr>
                <w:rFonts w:ascii="Arial" w:hAnsi="Arial" w:cs="Arial"/>
              </w:rPr>
              <w:t>through digital technology</w:t>
            </w:r>
            <w:r w:rsidR="00D31900">
              <w:rPr>
                <w:rFonts w:ascii="Arial" w:hAnsi="Arial" w:cs="Arial"/>
              </w:rPr>
              <w:t>.</w:t>
            </w:r>
          </w:p>
          <w:p w:rsidR="00CE0A9A" w:rsidRPr="009D430E" w:rsidRDefault="00F15980" w:rsidP="001658D7">
            <w:pPr>
              <w:spacing w:before="60" w:after="60"/>
              <w:jc w:val="both"/>
              <w:rPr>
                <w:rFonts w:ascii="Arial" w:hAnsi="Arial" w:cs="Arial"/>
              </w:rPr>
            </w:pPr>
            <w:r>
              <w:rPr>
                <w:rFonts w:ascii="Arial" w:hAnsi="Arial" w:cs="Arial"/>
              </w:rPr>
              <w:t>With o</w:t>
            </w:r>
            <w:r w:rsidR="00235F7F" w:rsidRPr="000F6B43">
              <w:rPr>
                <w:rFonts w:ascii="Arial" w:hAnsi="Arial" w:cs="Arial"/>
              </w:rPr>
              <w:t>ur c</w:t>
            </w:r>
            <w:r w:rsidR="00B24C85" w:rsidRPr="000F6B43">
              <w:rPr>
                <w:rFonts w:ascii="Arial" w:hAnsi="Arial" w:cs="Arial"/>
              </w:rPr>
              <w:t xml:space="preserve">urrent trading </w:t>
            </w:r>
            <w:r w:rsidR="0051202A" w:rsidRPr="000F6B43">
              <w:rPr>
                <w:rFonts w:ascii="Arial" w:hAnsi="Arial" w:cs="Arial"/>
              </w:rPr>
              <w:t xml:space="preserve">performance and </w:t>
            </w:r>
            <w:r w:rsidR="002C6E6A" w:rsidRPr="000F6B43">
              <w:rPr>
                <w:rFonts w:ascii="Arial" w:hAnsi="Arial" w:cs="Arial"/>
              </w:rPr>
              <w:t xml:space="preserve">the </w:t>
            </w:r>
            <w:r w:rsidR="0051202A" w:rsidRPr="000F6B43">
              <w:rPr>
                <w:rFonts w:ascii="Arial" w:hAnsi="Arial" w:cs="Arial"/>
              </w:rPr>
              <w:t>strong momentum behind our brands</w:t>
            </w:r>
            <w:r w:rsidR="00B24C85" w:rsidRPr="000F6B43">
              <w:rPr>
                <w:rFonts w:ascii="Arial" w:hAnsi="Arial" w:cs="Arial"/>
              </w:rPr>
              <w:t xml:space="preserve"> </w:t>
            </w:r>
            <w:r>
              <w:rPr>
                <w:rFonts w:ascii="Arial" w:hAnsi="Arial" w:cs="Arial"/>
              </w:rPr>
              <w:t>we remain confident</w:t>
            </w:r>
            <w:r w:rsidR="0051202A" w:rsidRPr="000F6B43">
              <w:rPr>
                <w:rFonts w:ascii="Arial" w:hAnsi="Arial" w:cs="Arial"/>
              </w:rPr>
              <w:t xml:space="preserve"> that our </w:t>
            </w:r>
            <w:r w:rsidR="00835D34">
              <w:rPr>
                <w:rFonts w:ascii="Arial" w:hAnsi="Arial" w:cs="Arial"/>
              </w:rPr>
              <w:t xml:space="preserve">winning </w:t>
            </w:r>
            <w:r w:rsidR="0051202A" w:rsidRPr="000F6B43">
              <w:rPr>
                <w:rFonts w:ascii="Arial" w:hAnsi="Arial" w:cs="Arial"/>
              </w:rPr>
              <w:t xml:space="preserve">strategy </w:t>
            </w:r>
            <w:r w:rsidR="001658D7" w:rsidRPr="000F6B43">
              <w:rPr>
                <w:rFonts w:ascii="Arial" w:hAnsi="Arial" w:cs="Arial"/>
              </w:rPr>
              <w:t>will continue to deliver</w:t>
            </w:r>
            <w:r w:rsidR="001658D7">
              <w:rPr>
                <w:rFonts w:ascii="Arial" w:hAnsi="Arial" w:cs="Arial"/>
              </w:rPr>
              <w:t xml:space="preserve"> sustainable </w:t>
            </w:r>
            <w:r w:rsidR="00835D34">
              <w:rPr>
                <w:rFonts w:ascii="Arial" w:hAnsi="Arial" w:cs="Arial"/>
              </w:rPr>
              <w:t>high quality growth</w:t>
            </w:r>
            <w:r w:rsidR="0051202A" w:rsidRPr="000F6B43">
              <w:rPr>
                <w:rFonts w:ascii="Arial" w:hAnsi="Arial" w:cs="Arial"/>
              </w:rPr>
              <w:t>.”</w:t>
            </w:r>
            <w:r w:rsidR="0051202A" w:rsidRPr="009D430E">
              <w:rPr>
                <w:rFonts w:ascii="Arial" w:hAnsi="Arial" w:cs="Arial"/>
              </w:rPr>
              <w:t xml:space="preserve"> </w:t>
            </w:r>
          </w:p>
        </w:tc>
      </w:tr>
    </w:tbl>
    <w:p w:rsidR="00B07756" w:rsidRPr="00B07756" w:rsidRDefault="00B07756">
      <w:pPr>
        <w:rPr>
          <w:sz w:val="10"/>
          <w:szCs w:val="10"/>
        </w:rPr>
      </w:pPr>
    </w:p>
    <w:tbl>
      <w:tblPr>
        <w:tblW w:w="10348" w:type="dxa"/>
        <w:tblInd w:w="250" w:type="dxa"/>
        <w:tblBorders>
          <w:top w:val="single" w:sz="4" w:space="0" w:color="auto"/>
        </w:tblBorders>
        <w:tblLook w:val="00A0" w:firstRow="1" w:lastRow="0" w:firstColumn="1" w:lastColumn="0" w:noHBand="0" w:noVBand="0"/>
      </w:tblPr>
      <w:tblGrid>
        <w:gridCol w:w="10348"/>
      </w:tblGrid>
      <w:tr w:rsidR="00473859" w:rsidRPr="009D430E" w:rsidTr="00B07756">
        <w:tc>
          <w:tcPr>
            <w:tcW w:w="10348" w:type="dxa"/>
            <w:tcBorders>
              <w:top w:val="single" w:sz="4" w:space="0" w:color="auto"/>
              <w:left w:val="single" w:sz="4" w:space="0" w:color="auto"/>
              <w:bottom w:val="single" w:sz="4" w:space="0" w:color="auto"/>
              <w:right w:val="single" w:sz="4" w:space="0" w:color="auto"/>
            </w:tcBorders>
          </w:tcPr>
          <w:p w:rsidR="00473859" w:rsidRPr="009D430E" w:rsidRDefault="004351F2" w:rsidP="009D430E">
            <w:pPr>
              <w:spacing w:before="60" w:after="60"/>
              <w:jc w:val="both"/>
              <w:rPr>
                <w:rFonts w:ascii="Arial" w:hAnsi="Arial" w:cs="Arial"/>
                <w:b/>
              </w:rPr>
            </w:pPr>
            <w:r w:rsidRPr="009D430E">
              <w:rPr>
                <w:rFonts w:ascii="Arial" w:hAnsi="Arial" w:cs="Arial"/>
                <w:b/>
              </w:rPr>
              <w:t>First</w:t>
            </w:r>
            <w:r w:rsidR="00215BC1" w:rsidRPr="009D430E">
              <w:rPr>
                <w:rFonts w:ascii="Arial" w:hAnsi="Arial" w:cs="Arial"/>
                <w:b/>
              </w:rPr>
              <w:t xml:space="preserve"> Quarter </w:t>
            </w:r>
            <w:r w:rsidR="00473859" w:rsidRPr="009D430E">
              <w:rPr>
                <w:rFonts w:ascii="Arial" w:hAnsi="Arial" w:cs="Arial"/>
                <w:b/>
              </w:rPr>
              <w:t>RevPAR performance</w:t>
            </w:r>
            <w:r w:rsidR="00EF728D" w:rsidRPr="009D430E">
              <w:rPr>
                <w:rFonts w:ascii="Arial" w:hAnsi="Arial" w:cs="Arial"/>
                <w:b/>
              </w:rPr>
              <w:t xml:space="preserve"> </w:t>
            </w:r>
          </w:p>
        </w:tc>
      </w:tr>
      <w:tr w:rsidR="00A22580" w:rsidRPr="009D430E" w:rsidTr="00B07756">
        <w:trPr>
          <w:trHeight w:val="1340"/>
        </w:trPr>
        <w:tc>
          <w:tcPr>
            <w:tcW w:w="10348" w:type="dxa"/>
            <w:tcBorders>
              <w:top w:val="nil"/>
              <w:left w:val="single" w:sz="4" w:space="0" w:color="auto"/>
              <w:bottom w:val="nil"/>
              <w:right w:val="single" w:sz="4" w:space="0" w:color="auto"/>
            </w:tcBorders>
          </w:tcPr>
          <w:p w:rsidR="00A22580" w:rsidRPr="009D430E" w:rsidRDefault="00A22580" w:rsidP="009D430E">
            <w:pPr>
              <w:spacing w:before="60" w:after="60"/>
              <w:jc w:val="both"/>
              <w:rPr>
                <w:rFonts w:ascii="Arial" w:hAnsi="Arial" w:cs="Arial"/>
                <w:b/>
              </w:rPr>
            </w:pPr>
            <w:r w:rsidRPr="009D430E">
              <w:rPr>
                <w:rFonts w:ascii="Arial" w:hAnsi="Arial" w:cs="Arial"/>
                <w:b/>
              </w:rPr>
              <w:t xml:space="preserve">Americas </w:t>
            </w:r>
          </w:p>
          <w:p w:rsidR="00215BC1" w:rsidRPr="009D430E" w:rsidRDefault="003C233F" w:rsidP="009D430E">
            <w:pPr>
              <w:spacing w:before="60" w:after="60"/>
              <w:jc w:val="both"/>
              <w:rPr>
                <w:rFonts w:ascii="Arial" w:hAnsi="Arial" w:cs="Arial"/>
              </w:rPr>
            </w:pPr>
            <w:r w:rsidRPr="009D430E">
              <w:rPr>
                <w:rFonts w:ascii="Arial" w:hAnsi="Arial" w:cs="Arial"/>
              </w:rPr>
              <w:t>RevPAR</w:t>
            </w:r>
            <w:r w:rsidR="00A22580" w:rsidRPr="009D430E">
              <w:rPr>
                <w:rFonts w:ascii="Arial" w:hAnsi="Arial" w:cs="Arial"/>
              </w:rPr>
              <w:t xml:space="preserve"> </w:t>
            </w:r>
            <w:r w:rsidR="00215BC1" w:rsidRPr="009D430E">
              <w:rPr>
                <w:rFonts w:ascii="Arial" w:hAnsi="Arial" w:cs="Arial"/>
              </w:rPr>
              <w:t>was up</w:t>
            </w:r>
            <w:r w:rsidR="00A22580" w:rsidRPr="009D430E">
              <w:rPr>
                <w:rFonts w:ascii="Arial" w:hAnsi="Arial" w:cs="Arial"/>
              </w:rPr>
              <w:t xml:space="preserve"> </w:t>
            </w:r>
            <w:r w:rsidR="004351F2" w:rsidRPr="009D430E">
              <w:rPr>
                <w:rFonts w:ascii="Arial" w:hAnsi="Arial" w:cs="Arial"/>
              </w:rPr>
              <w:t>6</w:t>
            </w:r>
            <w:r w:rsidR="00892E39" w:rsidRPr="009D430E">
              <w:rPr>
                <w:rFonts w:ascii="Arial" w:hAnsi="Arial" w:cs="Arial"/>
              </w:rPr>
              <w:t>.</w:t>
            </w:r>
            <w:r w:rsidR="001B15C5" w:rsidRPr="009D430E">
              <w:rPr>
                <w:rFonts w:ascii="Arial" w:hAnsi="Arial" w:cs="Arial"/>
              </w:rPr>
              <w:t>2</w:t>
            </w:r>
            <w:r w:rsidR="00A22580" w:rsidRPr="009D430E">
              <w:rPr>
                <w:rFonts w:ascii="Arial" w:hAnsi="Arial" w:cs="Arial"/>
              </w:rPr>
              <w:t>%</w:t>
            </w:r>
            <w:r w:rsidR="004351F2" w:rsidRPr="009D430E">
              <w:rPr>
                <w:rFonts w:ascii="Arial" w:hAnsi="Arial" w:cs="Arial"/>
              </w:rPr>
              <w:t xml:space="preserve">, with </w:t>
            </w:r>
            <w:r w:rsidR="002C6E6A">
              <w:rPr>
                <w:rFonts w:ascii="Arial" w:hAnsi="Arial" w:cs="Arial"/>
              </w:rPr>
              <w:t xml:space="preserve">growth in the </w:t>
            </w:r>
            <w:r w:rsidR="00CE45DA" w:rsidRPr="009D430E">
              <w:rPr>
                <w:rFonts w:ascii="Arial" w:hAnsi="Arial" w:cs="Arial"/>
              </w:rPr>
              <w:t>US of</w:t>
            </w:r>
            <w:r w:rsidR="004351F2" w:rsidRPr="009D430E">
              <w:rPr>
                <w:rFonts w:ascii="Arial" w:hAnsi="Arial" w:cs="Arial"/>
              </w:rPr>
              <w:t xml:space="preserve"> </w:t>
            </w:r>
            <w:r w:rsidR="00CE45DA" w:rsidRPr="009D430E">
              <w:rPr>
                <w:rFonts w:ascii="Arial" w:hAnsi="Arial" w:cs="Arial"/>
              </w:rPr>
              <w:t xml:space="preserve">6.6% </w:t>
            </w:r>
            <w:r w:rsidR="002C6E6A">
              <w:rPr>
                <w:rFonts w:ascii="Arial" w:hAnsi="Arial" w:cs="Arial"/>
              </w:rPr>
              <w:t xml:space="preserve">and Mexico of </w:t>
            </w:r>
            <w:r w:rsidR="00213AF5">
              <w:rPr>
                <w:rFonts w:ascii="Arial" w:hAnsi="Arial" w:cs="Arial"/>
              </w:rPr>
              <w:t>8.8</w:t>
            </w:r>
            <w:r w:rsidR="002C6E6A">
              <w:rPr>
                <w:rFonts w:ascii="Arial" w:hAnsi="Arial" w:cs="Arial"/>
              </w:rPr>
              <w:t>%</w:t>
            </w:r>
            <w:r w:rsidR="00F15980">
              <w:rPr>
                <w:rFonts w:ascii="Arial" w:hAnsi="Arial" w:cs="Arial"/>
              </w:rPr>
              <w:t>,</w:t>
            </w:r>
            <w:r w:rsidR="002C6E6A">
              <w:rPr>
                <w:rFonts w:ascii="Arial" w:hAnsi="Arial" w:cs="Arial"/>
              </w:rPr>
              <w:t xml:space="preserve"> </w:t>
            </w:r>
            <w:r w:rsidR="00CE45DA" w:rsidRPr="009D430E">
              <w:rPr>
                <w:rFonts w:ascii="Arial" w:hAnsi="Arial" w:cs="Arial"/>
              </w:rPr>
              <w:t>partially offset by sof</w:t>
            </w:r>
            <w:r w:rsidR="00B838B3" w:rsidRPr="009D430E">
              <w:rPr>
                <w:rFonts w:ascii="Arial" w:hAnsi="Arial" w:cs="Arial"/>
              </w:rPr>
              <w:t>ter trading in Canada</w:t>
            </w:r>
            <w:r w:rsidR="000E2979">
              <w:rPr>
                <w:rFonts w:ascii="Arial" w:hAnsi="Arial" w:cs="Arial"/>
              </w:rPr>
              <w:t xml:space="preserve"> </w:t>
            </w:r>
            <w:r w:rsidR="00B838B3" w:rsidRPr="009D430E">
              <w:rPr>
                <w:rFonts w:ascii="Arial" w:hAnsi="Arial" w:cs="Arial"/>
              </w:rPr>
              <w:t>and Latin America.</w:t>
            </w:r>
          </w:p>
          <w:p w:rsidR="003C233F" w:rsidRPr="009D430E" w:rsidRDefault="00CE45DA" w:rsidP="001D1966">
            <w:pPr>
              <w:spacing w:before="60" w:after="60"/>
              <w:jc w:val="both"/>
              <w:rPr>
                <w:rFonts w:ascii="Arial" w:hAnsi="Arial" w:cs="Arial"/>
              </w:rPr>
            </w:pPr>
            <w:r w:rsidRPr="009D430E">
              <w:rPr>
                <w:rFonts w:ascii="Arial" w:hAnsi="Arial" w:cs="Arial"/>
              </w:rPr>
              <w:t>T</w:t>
            </w:r>
            <w:r w:rsidR="0084059E" w:rsidRPr="009D430E">
              <w:rPr>
                <w:rFonts w:ascii="Arial" w:hAnsi="Arial" w:cs="Arial"/>
              </w:rPr>
              <w:t xml:space="preserve">he US </w:t>
            </w:r>
            <w:r w:rsidR="003C21D3" w:rsidRPr="009D430E">
              <w:rPr>
                <w:rFonts w:ascii="Arial" w:hAnsi="Arial" w:cs="Arial"/>
              </w:rPr>
              <w:t>continues</w:t>
            </w:r>
            <w:r w:rsidRPr="009D430E">
              <w:rPr>
                <w:rFonts w:ascii="Arial" w:hAnsi="Arial" w:cs="Arial"/>
              </w:rPr>
              <w:t xml:space="preserve"> to benefit from record levels of demand and </w:t>
            </w:r>
            <w:r w:rsidR="00D31900">
              <w:rPr>
                <w:rFonts w:ascii="Arial" w:hAnsi="Arial" w:cs="Arial"/>
              </w:rPr>
              <w:t>low levels of supply, with</w:t>
            </w:r>
            <w:r w:rsidR="002C6E6A">
              <w:rPr>
                <w:rFonts w:ascii="Arial" w:hAnsi="Arial" w:cs="Arial"/>
              </w:rPr>
              <w:t xml:space="preserve"> </w:t>
            </w:r>
            <w:r w:rsidR="00D31900">
              <w:rPr>
                <w:rFonts w:ascii="Arial" w:hAnsi="Arial" w:cs="Arial"/>
              </w:rPr>
              <w:t xml:space="preserve">occupancy </w:t>
            </w:r>
            <w:r w:rsidRPr="009D430E">
              <w:rPr>
                <w:rFonts w:ascii="Arial" w:hAnsi="Arial" w:cs="Arial"/>
              </w:rPr>
              <w:t xml:space="preserve">the highest </w:t>
            </w:r>
            <w:r w:rsidR="00B838B3" w:rsidRPr="009D430E">
              <w:rPr>
                <w:rFonts w:ascii="Arial" w:hAnsi="Arial" w:cs="Arial"/>
              </w:rPr>
              <w:t>IHG</w:t>
            </w:r>
            <w:r w:rsidRPr="009D430E">
              <w:rPr>
                <w:rFonts w:ascii="Arial" w:hAnsi="Arial" w:cs="Arial"/>
              </w:rPr>
              <w:t xml:space="preserve"> </w:t>
            </w:r>
            <w:r w:rsidR="002C6E6A">
              <w:rPr>
                <w:rFonts w:ascii="Arial" w:hAnsi="Arial" w:cs="Arial"/>
              </w:rPr>
              <w:t xml:space="preserve">has </w:t>
            </w:r>
            <w:r w:rsidR="00B579F4">
              <w:rPr>
                <w:rFonts w:ascii="Arial" w:hAnsi="Arial" w:cs="Arial"/>
              </w:rPr>
              <w:t>ever recorded</w:t>
            </w:r>
            <w:r w:rsidR="00C26D08">
              <w:rPr>
                <w:rFonts w:ascii="Arial" w:hAnsi="Arial" w:cs="Arial"/>
              </w:rPr>
              <w:t xml:space="preserve"> in the first quarter</w:t>
            </w:r>
            <w:r w:rsidR="00B579F4">
              <w:rPr>
                <w:rFonts w:ascii="Arial" w:hAnsi="Arial" w:cs="Arial"/>
              </w:rPr>
              <w:t xml:space="preserve">. </w:t>
            </w:r>
            <w:r w:rsidR="009B7E42">
              <w:rPr>
                <w:rFonts w:ascii="Arial" w:hAnsi="Arial" w:cs="Arial"/>
              </w:rPr>
              <w:t>Rates</w:t>
            </w:r>
            <w:r w:rsidRPr="009D430E">
              <w:rPr>
                <w:rFonts w:ascii="Arial" w:hAnsi="Arial" w:cs="Arial"/>
              </w:rPr>
              <w:t xml:space="preserve"> </w:t>
            </w:r>
            <w:r w:rsidR="00835D34">
              <w:rPr>
                <w:rFonts w:ascii="Arial" w:hAnsi="Arial" w:cs="Arial"/>
              </w:rPr>
              <w:t xml:space="preserve">in the US </w:t>
            </w:r>
            <w:r w:rsidR="009B7E42">
              <w:rPr>
                <w:rFonts w:ascii="Arial" w:hAnsi="Arial" w:cs="Arial"/>
              </w:rPr>
              <w:t>increased by</w:t>
            </w:r>
            <w:r w:rsidRPr="009D430E">
              <w:rPr>
                <w:rFonts w:ascii="Arial" w:hAnsi="Arial" w:cs="Arial"/>
              </w:rPr>
              <w:t xml:space="preserve"> 4.4%, </w:t>
            </w:r>
            <w:r w:rsidR="003C21D3" w:rsidRPr="009D430E">
              <w:rPr>
                <w:rFonts w:ascii="Arial" w:hAnsi="Arial" w:cs="Arial"/>
              </w:rPr>
              <w:t xml:space="preserve">with the </w:t>
            </w:r>
            <w:r w:rsidR="00CA28D9">
              <w:rPr>
                <w:rFonts w:ascii="Arial" w:hAnsi="Arial" w:cs="Arial"/>
              </w:rPr>
              <w:t>Holiday Inn brand family increasing</w:t>
            </w:r>
            <w:r w:rsidR="003C21D3" w:rsidRPr="009D430E">
              <w:rPr>
                <w:rFonts w:ascii="Arial" w:hAnsi="Arial" w:cs="Arial"/>
              </w:rPr>
              <w:t xml:space="preserve"> </w:t>
            </w:r>
            <w:r w:rsidR="00CA28D9">
              <w:rPr>
                <w:rFonts w:ascii="Arial" w:hAnsi="Arial" w:cs="Arial"/>
              </w:rPr>
              <w:t>price</w:t>
            </w:r>
            <w:r w:rsidR="002C6E6A">
              <w:rPr>
                <w:rFonts w:ascii="Arial" w:hAnsi="Arial" w:cs="Arial"/>
              </w:rPr>
              <w:t xml:space="preserve"> </w:t>
            </w:r>
            <w:r w:rsidR="003C21D3" w:rsidRPr="009D430E">
              <w:rPr>
                <w:rFonts w:ascii="Arial" w:hAnsi="Arial" w:cs="Arial"/>
              </w:rPr>
              <w:t xml:space="preserve">ahead of </w:t>
            </w:r>
            <w:r w:rsidR="00213AF5">
              <w:rPr>
                <w:rFonts w:ascii="Arial" w:hAnsi="Arial" w:cs="Arial"/>
              </w:rPr>
              <w:t>its</w:t>
            </w:r>
            <w:r w:rsidRPr="009D430E">
              <w:rPr>
                <w:rFonts w:ascii="Arial" w:hAnsi="Arial" w:cs="Arial"/>
              </w:rPr>
              <w:t xml:space="preserve"> industry</w:t>
            </w:r>
            <w:r w:rsidR="00B838B3" w:rsidRPr="009D430E">
              <w:rPr>
                <w:rFonts w:ascii="Arial" w:hAnsi="Arial" w:cs="Arial"/>
              </w:rPr>
              <w:t xml:space="preserve"> </w:t>
            </w:r>
            <w:r w:rsidR="00213AF5">
              <w:rPr>
                <w:rFonts w:ascii="Arial" w:hAnsi="Arial" w:cs="Arial"/>
              </w:rPr>
              <w:t xml:space="preserve">segment, and </w:t>
            </w:r>
            <w:r w:rsidR="002C6E6A">
              <w:rPr>
                <w:rFonts w:ascii="Arial" w:hAnsi="Arial" w:cs="Arial"/>
              </w:rPr>
              <w:t>our boutique brands, Hotel Indigo and Kimpton</w:t>
            </w:r>
            <w:r w:rsidR="00D31900">
              <w:rPr>
                <w:rFonts w:ascii="Arial" w:hAnsi="Arial" w:cs="Arial"/>
              </w:rPr>
              <w:t xml:space="preserve"> Hotels and Restaurants</w:t>
            </w:r>
            <w:r w:rsidR="00130406">
              <w:rPr>
                <w:rFonts w:ascii="Arial" w:hAnsi="Arial" w:cs="Arial"/>
              </w:rPr>
              <w:t>,</w:t>
            </w:r>
            <w:r w:rsidR="00B579F4">
              <w:rPr>
                <w:rFonts w:ascii="Arial" w:hAnsi="Arial" w:cs="Arial"/>
              </w:rPr>
              <w:t xml:space="preserve"> </w:t>
            </w:r>
            <w:r w:rsidR="00835D34">
              <w:rPr>
                <w:rFonts w:ascii="Arial" w:hAnsi="Arial" w:cs="Arial"/>
              </w:rPr>
              <w:t>achieving RevPAR growth of 9.4% and 7.1% respectively</w:t>
            </w:r>
            <w:r w:rsidR="00213AF5">
              <w:rPr>
                <w:rFonts w:ascii="Arial" w:hAnsi="Arial" w:cs="Arial"/>
              </w:rPr>
              <w:t>.</w:t>
            </w:r>
          </w:p>
        </w:tc>
      </w:tr>
      <w:tr w:rsidR="00A22580" w:rsidRPr="009D430E" w:rsidTr="00B07756">
        <w:tc>
          <w:tcPr>
            <w:tcW w:w="10348" w:type="dxa"/>
            <w:tcBorders>
              <w:top w:val="nil"/>
              <w:left w:val="single" w:sz="4" w:space="0" w:color="auto"/>
              <w:bottom w:val="nil"/>
              <w:right w:val="single" w:sz="4" w:space="0" w:color="auto"/>
            </w:tcBorders>
          </w:tcPr>
          <w:p w:rsidR="00A22580" w:rsidRPr="009D430E" w:rsidRDefault="00A22580" w:rsidP="009D430E">
            <w:pPr>
              <w:spacing w:before="60" w:after="60"/>
              <w:jc w:val="both"/>
              <w:rPr>
                <w:rFonts w:ascii="Arial" w:hAnsi="Arial" w:cs="Arial"/>
                <w:b/>
              </w:rPr>
            </w:pPr>
            <w:r w:rsidRPr="009D430E">
              <w:rPr>
                <w:rFonts w:ascii="Arial" w:hAnsi="Arial" w:cs="Arial"/>
                <w:b/>
              </w:rPr>
              <w:t>Europe</w:t>
            </w:r>
          </w:p>
          <w:p w:rsidR="0031492B" w:rsidRPr="009D430E" w:rsidRDefault="00A22580" w:rsidP="009D430E">
            <w:pPr>
              <w:spacing w:before="60" w:after="60"/>
              <w:jc w:val="both"/>
              <w:rPr>
                <w:rFonts w:ascii="Arial" w:hAnsi="Arial" w:cs="Arial"/>
              </w:rPr>
            </w:pPr>
            <w:r w:rsidRPr="009D430E">
              <w:rPr>
                <w:rFonts w:ascii="Arial" w:hAnsi="Arial" w:cs="Arial"/>
              </w:rPr>
              <w:t>RevPAR</w:t>
            </w:r>
            <w:r w:rsidR="00215BC1" w:rsidRPr="009D430E">
              <w:rPr>
                <w:rFonts w:ascii="Arial" w:hAnsi="Arial" w:cs="Arial"/>
              </w:rPr>
              <w:t xml:space="preserve"> was</w:t>
            </w:r>
            <w:r w:rsidRPr="009D430E">
              <w:rPr>
                <w:rFonts w:ascii="Arial" w:hAnsi="Arial" w:cs="Arial"/>
              </w:rPr>
              <w:t xml:space="preserve"> </w:t>
            </w:r>
            <w:r w:rsidR="00C6090F" w:rsidRPr="009D430E">
              <w:rPr>
                <w:rFonts w:ascii="Arial" w:hAnsi="Arial" w:cs="Arial"/>
              </w:rPr>
              <w:t>up</w:t>
            </w:r>
            <w:r w:rsidR="00D05349" w:rsidRPr="009D430E">
              <w:rPr>
                <w:rFonts w:ascii="Arial" w:hAnsi="Arial" w:cs="Arial"/>
              </w:rPr>
              <w:t xml:space="preserve"> </w:t>
            </w:r>
            <w:r w:rsidR="008959C5" w:rsidRPr="009D430E">
              <w:rPr>
                <w:rFonts w:ascii="Arial" w:hAnsi="Arial" w:cs="Arial"/>
              </w:rPr>
              <w:t xml:space="preserve">5.8% </w:t>
            </w:r>
            <w:r w:rsidR="00620CE1">
              <w:rPr>
                <w:rFonts w:ascii="Arial" w:hAnsi="Arial" w:cs="Arial"/>
              </w:rPr>
              <w:t>with</w:t>
            </w:r>
            <w:r w:rsidR="008959C5" w:rsidRPr="009D430E">
              <w:rPr>
                <w:rFonts w:ascii="Arial" w:hAnsi="Arial" w:cs="Arial"/>
              </w:rPr>
              <w:t xml:space="preserve"> solid growth in the UK and Germany, two of our priority markets</w:t>
            </w:r>
            <w:r w:rsidR="002841E0" w:rsidRPr="009D430E">
              <w:rPr>
                <w:rFonts w:ascii="Arial" w:hAnsi="Arial" w:cs="Arial"/>
              </w:rPr>
              <w:t xml:space="preserve">. </w:t>
            </w:r>
          </w:p>
          <w:p w:rsidR="00A22580" w:rsidRPr="009D430E" w:rsidRDefault="008959C5" w:rsidP="00130406">
            <w:pPr>
              <w:spacing w:before="60" w:after="60"/>
              <w:jc w:val="both"/>
              <w:rPr>
                <w:rFonts w:ascii="Arial" w:hAnsi="Arial" w:cs="Arial"/>
              </w:rPr>
            </w:pPr>
            <w:r w:rsidRPr="009D430E">
              <w:rPr>
                <w:rFonts w:ascii="Arial" w:hAnsi="Arial" w:cs="Arial"/>
              </w:rPr>
              <w:t xml:space="preserve">UK growth of 7.7% </w:t>
            </w:r>
            <w:r w:rsidR="0073621F" w:rsidRPr="00620CE1">
              <w:rPr>
                <w:rFonts w:ascii="Arial" w:hAnsi="Arial" w:cs="Arial"/>
              </w:rPr>
              <w:t xml:space="preserve">was </w:t>
            </w:r>
            <w:r w:rsidRPr="00620CE1">
              <w:rPr>
                <w:rFonts w:ascii="Arial" w:hAnsi="Arial" w:cs="Arial"/>
              </w:rPr>
              <w:t>driven by rate</w:t>
            </w:r>
            <w:r w:rsidRPr="009D430E">
              <w:rPr>
                <w:rFonts w:ascii="Arial" w:hAnsi="Arial" w:cs="Arial"/>
              </w:rPr>
              <w:t xml:space="preserve"> increases in both London and the provinces</w:t>
            </w:r>
            <w:r w:rsidR="0073621F" w:rsidRPr="009D430E">
              <w:rPr>
                <w:rFonts w:ascii="Arial" w:hAnsi="Arial" w:cs="Arial"/>
              </w:rPr>
              <w:t xml:space="preserve"> as the economic environment continues to improve</w:t>
            </w:r>
            <w:r w:rsidR="00E460A2">
              <w:rPr>
                <w:rFonts w:ascii="Arial" w:hAnsi="Arial" w:cs="Arial"/>
              </w:rPr>
              <w:t>. Germany was up 4.7</w:t>
            </w:r>
            <w:r w:rsidRPr="009D430E">
              <w:rPr>
                <w:rFonts w:ascii="Arial" w:hAnsi="Arial" w:cs="Arial"/>
              </w:rPr>
              <w:t>%</w:t>
            </w:r>
            <w:r w:rsidR="001D1966">
              <w:rPr>
                <w:rFonts w:ascii="Arial" w:hAnsi="Arial" w:cs="Arial"/>
              </w:rPr>
              <w:t>,</w:t>
            </w:r>
            <w:r w:rsidRPr="009D430E">
              <w:rPr>
                <w:rFonts w:ascii="Arial" w:hAnsi="Arial" w:cs="Arial"/>
              </w:rPr>
              <w:t xml:space="preserve"> with </w:t>
            </w:r>
            <w:r w:rsidR="00213AF5">
              <w:rPr>
                <w:rFonts w:ascii="Arial" w:hAnsi="Arial" w:cs="Arial"/>
              </w:rPr>
              <w:t>strong performance by the Holiday Inn brand family</w:t>
            </w:r>
            <w:r w:rsidR="00F15980">
              <w:rPr>
                <w:rFonts w:ascii="Arial" w:hAnsi="Arial" w:cs="Arial"/>
              </w:rPr>
              <w:t xml:space="preserve"> offset by </w:t>
            </w:r>
            <w:r w:rsidR="00130406">
              <w:rPr>
                <w:rFonts w:ascii="Arial" w:hAnsi="Arial" w:cs="Arial"/>
              </w:rPr>
              <w:t>reduced trade fair activity</w:t>
            </w:r>
            <w:r w:rsidR="001D1966">
              <w:rPr>
                <w:rFonts w:ascii="Arial" w:hAnsi="Arial" w:cs="Arial"/>
              </w:rPr>
              <w:t>,</w:t>
            </w:r>
            <w:r w:rsidR="00130406">
              <w:rPr>
                <w:rFonts w:ascii="Arial" w:hAnsi="Arial" w:cs="Arial"/>
              </w:rPr>
              <w:t xml:space="preserve"> </w:t>
            </w:r>
            <w:r w:rsidR="00620CE1">
              <w:rPr>
                <w:rFonts w:ascii="Arial" w:hAnsi="Arial" w:cs="Arial"/>
              </w:rPr>
              <w:t>which impacted</w:t>
            </w:r>
            <w:r w:rsidR="00213AF5">
              <w:rPr>
                <w:rFonts w:ascii="Arial" w:hAnsi="Arial" w:cs="Arial"/>
              </w:rPr>
              <w:t xml:space="preserve"> InterContine</w:t>
            </w:r>
            <w:r w:rsidR="00B579F4">
              <w:rPr>
                <w:rFonts w:ascii="Arial" w:hAnsi="Arial" w:cs="Arial"/>
              </w:rPr>
              <w:t>n</w:t>
            </w:r>
            <w:r w:rsidR="00213AF5">
              <w:rPr>
                <w:rFonts w:ascii="Arial" w:hAnsi="Arial" w:cs="Arial"/>
              </w:rPr>
              <w:t xml:space="preserve">tal hotels in </w:t>
            </w:r>
            <w:r w:rsidRPr="009D430E">
              <w:rPr>
                <w:rFonts w:ascii="Arial" w:hAnsi="Arial" w:cs="Arial"/>
              </w:rPr>
              <w:t>key cities</w:t>
            </w:r>
            <w:r w:rsidR="0073621F" w:rsidRPr="009D430E">
              <w:rPr>
                <w:rFonts w:ascii="Arial" w:hAnsi="Arial" w:cs="Arial"/>
              </w:rPr>
              <w:t xml:space="preserve">. Elsewhere, Central and Southern Europe </w:t>
            </w:r>
            <w:r w:rsidR="00B838B3" w:rsidRPr="009D430E">
              <w:rPr>
                <w:rFonts w:ascii="Arial" w:hAnsi="Arial" w:cs="Arial"/>
              </w:rPr>
              <w:t>are showing good signs of recovery</w:t>
            </w:r>
            <w:r w:rsidR="0073621F" w:rsidRPr="009D430E">
              <w:rPr>
                <w:rFonts w:ascii="Arial" w:hAnsi="Arial" w:cs="Arial"/>
              </w:rPr>
              <w:t xml:space="preserve"> but difficult trading conditions persist in Russia and the CIS.</w:t>
            </w:r>
          </w:p>
        </w:tc>
      </w:tr>
      <w:tr w:rsidR="00A22580" w:rsidRPr="009D430E" w:rsidTr="00B07756">
        <w:tc>
          <w:tcPr>
            <w:tcW w:w="10348" w:type="dxa"/>
            <w:tcBorders>
              <w:top w:val="nil"/>
              <w:left w:val="single" w:sz="4" w:space="0" w:color="auto"/>
              <w:bottom w:val="nil"/>
              <w:right w:val="single" w:sz="4" w:space="0" w:color="auto"/>
            </w:tcBorders>
          </w:tcPr>
          <w:p w:rsidR="00A22580" w:rsidRPr="009D430E" w:rsidRDefault="00A22580" w:rsidP="009D430E">
            <w:pPr>
              <w:spacing w:before="60" w:after="60"/>
              <w:jc w:val="both"/>
              <w:rPr>
                <w:rFonts w:ascii="Arial" w:hAnsi="Arial" w:cs="Arial"/>
                <w:b/>
              </w:rPr>
            </w:pPr>
            <w:r w:rsidRPr="009D430E">
              <w:rPr>
                <w:rFonts w:ascii="Arial" w:hAnsi="Arial" w:cs="Arial"/>
                <w:b/>
              </w:rPr>
              <w:t>Asia, Middle East &amp; Africa</w:t>
            </w:r>
            <w:r w:rsidR="00F40E57" w:rsidRPr="009D430E">
              <w:rPr>
                <w:rFonts w:ascii="Arial" w:hAnsi="Arial" w:cs="Arial"/>
                <w:b/>
              </w:rPr>
              <w:t xml:space="preserve"> </w:t>
            </w:r>
          </w:p>
          <w:p w:rsidR="00FC11CC" w:rsidRPr="009D430E" w:rsidRDefault="00215BC1" w:rsidP="009D430E">
            <w:pPr>
              <w:spacing w:before="60" w:after="60"/>
              <w:jc w:val="both"/>
              <w:rPr>
                <w:rFonts w:ascii="Arial" w:hAnsi="Arial" w:cs="Arial"/>
              </w:rPr>
            </w:pPr>
            <w:r w:rsidRPr="009D430E">
              <w:rPr>
                <w:rFonts w:ascii="Arial" w:hAnsi="Arial" w:cs="Arial"/>
              </w:rPr>
              <w:t>RevPAR was up</w:t>
            </w:r>
            <w:r w:rsidR="000772C1" w:rsidRPr="009D430E">
              <w:rPr>
                <w:rFonts w:ascii="Arial" w:hAnsi="Arial" w:cs="Arial"/>
              </w:rPr>
              <w:t xml:space="preserve"> </w:t>
            </w:r>
            <w:r w:rsidR="00E14EFD" w:rsidRPr="009D430E">
              <w:rPr>
                <w:rFonts w:ascii="Arial" w:hAnsi="Arial" w:cs="Arial"/>
              </w:rPr>
              <w:t>6.2%, supported by strong performance in our est</w:t>
            </w:r>
            <w:r w:rsidR="00E24E98" w:rsidRPr="009D430E">
              <w:rPr>
                <w:rFonts w:ascii="Arial" w:hAnsi="Arial" w:cs="Arial"/>
              </w:rPr>
              <w:t>ablished markets of Middle East and</w:t>
            </w:r>
            <w:r w:rsidR="00E14EFD" w:rsidRPr="009D430E">
              <w:rPr>
                <w:rFonts w:ascii="Arial" w:hAnsi="Arial" w:cs="Arial"/>
              </w:rPr>
              <w:t xml:space="preserve"> Japan</w:t>
            </w:r>
            <w:r w:rsidR="007D575A" w:rsidRPr="009D430E">
              <w:rPr>
                <w:rFonts w:ascii="Arial" w:hAnsi="Arial" w:cs="Arial"/>
              </w:rPr>
              <w:t>.</w:t>
            </w:r>
          </w:p>
          <w:p w:rsidR="00E14EFD" w:rsidRPr="009D430E" w:rsidRDefault="004C4090" w:rsidP="00D22B4B">
            <w:pPr>
              <w:spacing w:before="60" w:after="60"/>
              <w:jc w:val="both"/>
              <w:rPr>
                <w:rFonts w:ascii="Arial" w:hAnsi="Arial" w:cs="Arial"/>
              </w:rPr>
            </w:pPr>
            <w:r w:rsidRPr="009D430E">
              <w:rPr>
                <w:rFonts w:ascii="Arial" w:hAnsi="Arial" w:cs="Arial"/>
              </w:rPr>
              <w:t>Middle East was up 5.7</w:t>
            </w:r>
            <w:r w:rsidR="00E14EFD" w:rsidRPr="009D430E">
              <w:rPr>
                <w:rFonts w:ascii="Arial" w:hAnsi="Arial" w:cs="Arial"/>
              </w:rPr>
              <w:t>%, driven by high single digit growth in Saudi Arabia and recoveries in Egypt and Lebanon.</w:t>
            </w:r>
            <w:r w:rsidR="00E24E98" w:rsidRPr="009D430E">
              <w:rPr>
                <w:rFonts w:ascii="Arial" w:hAnsi="Arial" w:cs="Arial"/>
              </w:rPr>
              <w:t xml:space="preserve"> </w:t>
            </w:r>
            <w:r w:rsidR="00E14EFD" w:rsidRPr="009D430E">
              <w:rPr>
                <w:rFonts w:ascii="Arial" w:hAnsi="Arial" w:cs="Arial"/>
              </w:rPr>
              <w:t xml:space="preserve">Japan grew by 9.9%, benefiting from </w:t>
            </w:r>
            <w:r w:rsidR="006D41E4" w:rsidRPr="009D430E">
              <w:rPr>
                <w:rFonts w:ascii="Arial" w:hAnsi="Arial" w:cs="Arial"/>
              </w:rPr>
              <w:t xml:space="preserve">growth in rate </w:t>
            </w:r>
            <w:r w:rsidR="00D22B4B">
              <w:rPr>
                <w:rFonts w:ascii="Arial" w:hAnsi="Arial" w:cs="Arial"/>
              </w:rPr>
              <w:t>due to</w:t>
            </w:r>
            <w:r w:rsidR="006D41E4" w:rsidRPr="009D430E">
              <w:rPr>
                <w:rFonts w:ascii="Arial" w:hAnsi="Arial" w:cs="Arial"/>
              </w:rPr>
              <w:t xml:space="preserve"> increased </w:t>
            </w:r>
            <w:r w:rsidR="00B579F4">
              <w:rPr>
                <w:rFonts w:ascii="Arial" w:hAnsi="Arial" w:cs="Arial"/>
              </w:rPr>
              <w:t>international</w:t>
            </w:r>
            <w:r w:rsidR="00E14EFD" w:rsidRPr="009D430E">
              <w:rPr>
                <w:rFonts w:ascii="Arial" w:hAnsi="Arial" w:cs="Arial"/>
              </w:rPr>
              <w:t xml:space="preserve"> tourism.</w:t>
            </w:r>
            <w:r w:rsidR="00E24E98" w:rsidRPr="009D430E">
              <w:rPr>
                <w:rFonts w:ascii="Arial" w:hAnsi="Arial" w:cs="Arial"/>
              </w:rPr>
              <w:t xml:space="preserve"> Across South East Asia </w:t>
            </w:r>
            <w:r w:rsidR="006D41E4" w:rsidRPr="009D430E">
              <w:rPr>
                <w:rFonts w:ascii="Arial" w:hAnsi="Arial" w:cs="Arial"/>
              </w:rPr>
              <w:t>we outperformed the industry in Thailand and Indonesia, with the former recovering strongly after the political disruption in 2014</w:t>
            </w:r>
            <w:r w:rsidR="00E24E98" w:rsidRPr="009D430E">
              <w:rPr>
                <w:rFonts w:ascii="Arial" w:hAnsi="Arial" w:cs="Arial"/>
              </w:rPr>
              <w:t>.</w:t>
            </w:r>
            <w:r w:rsidR="00E14EFD" w:rsidRPr="009D430E">
              <w:rPr>
                <w:rFonts w:ascii="Arial" w:hAnsi="Arial" w:cs="Arial"/>
              </w:rPr>
              <w:t xml:space="preserve"> </w:t>
            </w:r>
          </w:p>
        </w:tc>
      </w:tr>
      <w:tr w:rsidR="00A22580" w:rsidRPr="009D430E" w:rsidTr="00B07756">
        <w:tc>
          <w:tcPr>
            <w:tcW w:w="10348" w:type="dxa"/>
            <w:tcBorders>
              <w:top w:val="nil"/>
              <w:left w:val="single" w:sz="4" w:space="0" w:color="auto"/>
              <w:bottom w:val="single" w:sz="4" w:space="0" w:color="auto"/>
              <w:right w:val="single" w:sz="4" w:space="0" w:color="auto"/>
            </w:tcBorders>
          </w:tcPr>
          <w:p w:rsidR="00243B85" w:rsidRPr="00B579F4" w:rsidRDefault="00A22580" w:rsidP="009D430E">
            <w:pPr>
              <w:spacing w:before="60" w:after="60"/>
              <w:jc w:val="both"/>
              <w:rPr>
                <w:rFonts w:ascii="Arial" w:hAnsi="Arial" w:cs="Arial"/>
                <w:b/>
              </w:rPr>
            </w:pPr>
            <w:r w:rsidRPr="00B579F4">
              <w:rPr>
                <w:rFonts w:ascii="Arial" w:hAnsi="Arial" w:cs="Arial"/>
                <w:b/>
              </w:rPr>
              <w:t>Greater China</w:t>
            </w:r>
            <w:r w:rsidR="00121CCC" w:rsidRPr="00B579F4">
              <w:rPr>
                <w:rFonts w:ascii="Arial" w:hAnsi="Arial" w:cs="Arial"/>
                <w:b/>
              </w:rPr>
              <w:t xml:space="preserve"> </w:t>
            </w:r>
          </w:p>
          <w:p w:rsidR="00C3484D" w:rsidRPr="00B579F4" w:rsidRDefault="0014465D" w:rsidP="009D430E">
            <w:pPr>
              <w:spacing w:before="60" w:after="60"/>
              <w:jc w:val="both"/>
              <w:rPr>
                <w:rFonts w:ascii="Arial" w:hAnsi="Arial" w:cs="Arial"/>
              </w:rPr>
            </w:pPr>
            <w:r w:rsidRPr="00B579F4">
              <w:rPr>
                <w:rFonts w:ascii="Arial" w:hAnsi="Arial" w:cs="Arial"/>
              </w:rPr>
              <w:t xml:space="preserve">RevPAR was up </w:t>
            </w:r>
            <w:r w:rsidR="00C3484D" w:rsidRPr="00B579F4">
              <w:rPr>
                <w:rFonts w:ascii="Arial" w:hAnsi="Arial" w:cs="Arial"/>
              </w:rPr>
              <w:t xml:space="preserve">2.4% driven by </w:t>
            </w:r>
            <w:r w:rsidR="00835D34">
              <w:rPr>
                <w:rFonts w:ascii="Arial" w:hAnsi="Arial" w:cs="Arial"/>
              </w:rPr>
              <w:t xml:space="preserve">our continued </w:t>
            </w:r>
            <w:r w:rsidR="00B579F4" w:rsidRPr="00B579F4">
              <w:rPr>
                <w:rFonts w:ascii="Arial" w:hAnsi="Arial" w:cs="Arial"/>
              </w:rPr>
              <w:t>industry outperformance</w:t>
            </w:r>
            <w:r w:rsidR="00835D34">
              <w:rPr>
                <w:rFonts w:ascii="Arial" w:hAnsi="Arial" w:cs="Arial"/>
              </w:rPr>
              <w:t xml:space="preserve"> and robust trading in mainland China</w:t>
            </w:r>
            <w:r w:rsidR="007D575A" w:rsidRPr="00B579F4">
              <w:rPr>
                <w:rFonts w:ascii="Arial" w:hAnsi="Arial" w:cs="Arial"/>
              </w:rPr>
              <w:t>.</w:t>
            </w:r>
          </w:p>
          <w:p w:rsidR="00EA38FC" w:rsidRPr="009D430E" w:rsidRDefault="00F04BD1" w:rsidP="0041695B">
            <w:pPr>
              <w:spacing w:before="60" w:after="60"/>
              <w:jc w:val="both"/>
              <w:rPr>
                <w:rFonts w:ascii="Arial" w:hAnsi="Arial" w:cs="Arial"/>
              </w:rPr>
            </w:pPr>
            <w:r>
              <w:rPr>
                <w:rFonts w:ascii="Arial" w:hAnsi="Arial" w:cs="Arial"/>
              </w:rPr>
              <w:t xml:space="preserve">We outperformed the overall industry, with RevPAR </w:t>
            </w:r>
            <w:r w:rsidRPr="00B579F4">
              <w:rPr>
                <w:rFonts w:ascii="Arial" w:hAnsi="Arial" w:cs="Arial"/>
              </w:rPr>
              <w:t xml:space="preserve">5%pts </w:t>
            </w:r>
            <w:r>
              <w:rPr>
                <w:rFonts w:ascii="Arial" w:hAnsi="Arial" w:cs="Arial"/>
              </w:rPr>
              <w:t>ahead of the market against a backdrop of continuing government austerity</w:t>
            </w:r>
            <w:r w:rsidRPr="00B579F4">
              <w:rPr>
                <w:rFonts w:ascii="Arial" w:hAnsi="Arial" w:cs="Arial"/>
              </w:rPr>
              <w:t>.</w:t>
            </w:r>
            <w:r w:rsidRPr="009D430E">
              <w:rPr>
                <w:rFonts w:ascii="Arial" w:hAnsi="Arial" w:cs="Arial"/>
              </w:rPr>
              <w:t xml:space="preserve"> </w:t>
            </w:r>
            <w:r w:rsidR="00266499">
              <w:rPr>
                <w:rFonts w:ascii="Arial" w:hAnsi="Arial" w:cs="Arial"/>
              </w:rPr>
              <w:t xml:space="preserve">Mainland China RevPAR </w:t>
            </w:r>
            <w:r w:rsidR="00835D34">
              <w:rPr>
                <w:rFonts w:ascii="Arial" w:hAnsi="Arial" w:cs="Arial"/>
              </w:rPr>
              <w:t xml:space="preserve">was up </w:t>
            </w:r>
            <w:r w:rsidR="00B579F4">
              <w:rPr>
                <w:rFonts w:ascii="Arial" w:hAnsi="Arial" w:cs="Arial"/>
              </w:rPr>
              <w:t>6.3</w:t>
            </w:r>
            <w:r w:rsidR="00B579F4" w:rsidRPr="00B579F4">
              <w:rPr>
                <w:rFonts w:ascii="Arial" w:hAnsi="Arial" w:cs="Arial"/>
              </w:rPr>
              <w:t>%</w:t>
            </w:r>
            <w:r>
              <w:rPr>
                <w:rFonts w:ascii="Arial" w:hAnsi="Arial" w:cs="Arial"/>
              </w:rPr>
              <w:t>,</w:t>
            </w:r>
            <w:r w:rsidR="00266499">
              <w:rPr>
                <w:rFonts w:ascii="Arial" w:hAnsi="Arial" w:cs="Arial"/>
              </w:rPr>
              <w:t xml:space="preserve"> </w:t>
            </w:r>
            <w:r w:rsidR="00266499" w:rsidRPr="00B579F4">
              <w:rPr>
                <w:rFonts w:ascii="Arial" w:hAnsi="Arial" w:cs="Arial"/>
              </w:rPr>
              <w:t xml:space="preserve">led by Shanghai </w:t>
            </w:r>
            <w:r w:rsidR="00266499">
              <w:rPr>
                <w:rFonts w:ascii="Arial" w:hAnsi="Arial" w:cs="Arial"/>
              </w:rPr>
              <w:t xml:space="preserve">up </w:t>
            </w:r>
            <w:r w:rsidR="00266499" w:rsidRPr="00B579F4">
              <w:rPr>
                <w:rFonts w:ascii="Arial" w:hAnsi="Arial" w:cs="Arial"/>
              </w:rPr>
              <w:t>11.2% and</w:t>
            </w:r>
            <w:r w:rsidR="00B579F4" w:rsidRPr="00B579F4">
              <w:rPr>
                <w:rFonts w:ascii="Arial" w:hAnsi="Arial" w:cs="Arial"/>
              </w:rPr>
              <w:t xml:space="preserve"> </w:t>
            </w:r>
            <w:r w:rsidR="00266499">
              <w:rPr>
                <w:rFonts w:ascii="Arial" w:hAnsi="Arial" w:cs="Arial"/>
              </w:rPr>
              <w:t xml:space="preserve">strong performance in the other tier </w:t>
            </w:r>
            <w:r w:rsidR="00130406">
              <w:rPr>
                <w:rFonts w:ascii="Arial" w:hAnsi="Arial" w:cs="Arial"/>
              </w:rPr>
              <w:t>one</w:t>
            </w:r>
            <w:r w:rsidR="00266499">
              <w:rPr>
                <w:rFonts w:ascii="Arial" w:hAnsi="Arial" w:cs="Arial"/>
              </w:rPr>
              <w:t xml:space="preserve"> cities</w:t>
            </w:r>
            <w:r w:rsidR="00835D34">
              <w:rPr>
                <w:rFonts w:ascii="Arial" w:hAnsi="Arial" w:cs="Arial"/>
              </w:rPr>
              <w:t>.</w:t>
            </w:r>
            <w:r w:rsidR="00266499">
              <w:rPr>
                <w:rFonts w:ascii="Arial" w:hAnsi="Arial" w:cs="Arial"/>
              </w:rPr>
              <w:t xml:space="preserve"> </w:t>
            </w:r>
            <w:r w:rsidR="00C3484D" w:rsidRPr="00B579F4">
              <w:rPr>
                <w:rFonts w:ascii="Arial" w:hAnsi="Arial" w:cs="Arial"/>
              </w:rPr>
              <w:t xml:space="preserve">This was partially offset by </w:t>
            </w:r>
            <w:r w:rsidR="00835D34">
              <w:rPr>
                <w:rFonts w:ascii="Arial" w:hAnsi="Arial" w:cs="Arial"/>
              </w:rPr>
              <w:t xml:space="preserve">RevPAR </w:t>
            </w:r>
            <w:r w:rsidR="00C3484D" w:rsidRPr="00B579F4">
              <w:rPr>
                <w:rFonts w:ascii="Arial" w:hAnsi="Arial" w:cs="Arial"/>
              </w:rPr>
              <w:t xml:space="preserve">declines in </w:t>
            </w:r>
            <w:r w:rsidR="00835D34">
              <w:rPr>
                <w:rFonts w:ascii="Arial" w:hAnsi="Arial" w:cs="Arial"/>
              </w:rPr>
              <w:t xml:space="preserve">both </w:t>
            </w:r>
            <w:r w:rsidR="008A320A">
              <w:rPr>
                <w:rFonts w:ascii="Arial" w:hAnsi="Arial" w:cs="Arial"/>
              </w:rPr>
              <w:t>Macau</w:t>
            </w:r>
            <w:r w:rsidR="00B579F4">
              <w:rPr>
                <w:rFonts w:ascii="Arial" w:hAnsi="Arial" w:cs="Arial"/>
              </w:rPr>
              <w:t xml:space="preserve"> and </w:t>
            </w:r>
            <w:r w:rsidR="00C3484D" w:rsidRPr="00B579F4">
              <w:rPr>
                <w:rFonts w:ascii="Arial" w:hAnsi="Arial" w:cs="Arial"/>
              </w:rPr>
              <w:t>Hong Kong</w:t>
            </w:r>
            <w:r w:rsidR="00835D34">
              <w:rPr>
                <w:rFonts w:ascii="Arial" w:hAnsi="Arial" w:cs="Arial"/>
              </w:rPr>
              <w:t>,</w:t>
            </w:r>
            <w:r w:rsidR="00C3484D" w:rsidRPr="00B579F4">
              <w:rPr>
                <w:rFonts w:ascii="Arial" w:hAnsi="Arial" w:cs="Arial"/>
              </w:rPr>
              <w:t xml:space="preserve"> </w:t>
            </w:r>
            <w:r w:rsidR="00B579F4">
              <w:rPr>
                <w:rFonts w:ascii="Arial" w:hAnsi="Arial" w:cs="Arial"/>
              </w:rPr>
              <w:t>with the latter</w:t>
            </w:r>
            <w:r w:rsidR="00C3484D" w:rsidRPr="00B579F4">
              <w:rPr>
                <w:rFonts w:ascii="Arial" w:hAnsi="Arial" w:cs="Arial"/>
              </w:rPr>
              <w:t xml:space="preserve"> impacted by </w:t>
            </w:r>
            <w:r w:rsidR="00CA28D9">
              <w:rPr>
                <w:rFonts w:ascii="Arial" w:hAnsi="Arial" w:cs="Arial"/>
              </w:rPr>
              <w:t>softer market conditions following the</w:t>
            </w:r>
            <w:r w:rsidR="00CE0A9A" w:rsidRPr="00B579F4">
              <w:rPr>
                <w:rFonts w:ascii="Arial" w:hAnsi="Arial" w:cs="Arial"/>
              </w:rPr>
              <w:t xml:space="preserve"> </w:t>
            </w:r>
            <w:r w:rsidR="00130406">
              <w:rPr>
                <w:rFonts w:ascii="Arial" w:hAnsi="Arial" w:cs="Arial"/>
              </w:rPr>
              <w:t>“O</w:t>
            </w:r>
            <w:r w:rsidR="00CE0A9A" w:rsidRPr="00B579F4">
              <w:rPr>
                <w:rFonts w:ascii="Arial" w:hAnsi="Arial" w:cs="Arial"/>
              </w:rPr>
              <w:t xml:space="preserve">ccupy </w:t>
            </w:r>
            <w:r w:rsidR="00130406">
              <w:rPr>
                <w:rFonts w:ascii="Arial" w:hAnsi="Arial" w:cs="Arial"/>
              </w:rPr>
              <w:t>C</w:t>
            </w:r>
            <w:r w:rsidR="00CE0A9A" w:rsidRPr="00B579F4">
              <w:rPr>
                <w:rFonts w:ascii="Arial" w:hAnsi="Arial" w:cs="Arial"/>
              </w:rPr>
              <w:t>entral</w:t>
            </w:r>
            <w:r w:rsidR="00130406">
              <w:rPr>
                <w:rFonts w:ascii="Arial" w:hAnsi="Arial" w:cs="Arial"/>
              </w:rPr>
              <w:t>”</w:t>
            </w:r>
            <w:r w:rsidR="00CE0A9A" w:rsidRPr="00B579F4">
              <w:rPr>
                <w:rFonts w:ascii="Arial" w:hAnsi="Arial" w:cs="Arial"/>
              </w:rPr>
              <w:t xml:space="preserve"> protests in</w:t>
            </w:r>
            <w:r w:rsidR="00CA28D9">
              <w:rPr>
                <w:rFonts w:ascii="Arial" w:hAnsi="Arial" w:cs="Arial"/>
              </w:rPr>
              <w:t xml:space="preserve"> late</w:t>
            </w:r>
            <w:r w:rsidR="00CE0A9A" w:rsidRPr="00B579F4">
              <w:rPr>
                <w:rFonts w:ascii="Arial" w:hAnsi="Arial" w:cs="Arial"/>
              </w:rPr>
              <w:t xml:space="preserve"> 2014</w:t>
            </w:r>
            <w:r w:rsidR="00C3484D" w:rsidRPr="00B579F4">
              <w:rPr>
                <w:rFonts w:ascii="Arial" w:hAnsi="Arial" w:cs="Arial"/>
              </w:rPr>
              <w:t xml:space="preserve">. </w:t>
            </w:r>
          </w:p>
        </w:tc>
      </w:tr>
    </w:tbl>
    <w:p w:rsidR="00F04BD1" w:rsidRPr="009D430E" w:rsidRDefault="00F04BD1" w:rsidP="009D430E">
      <w:pPr>
        <w:spacing w:before="60" w:after="60"/>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BD0E99" w:rsidRPr="009D430E" w:rsidTr="00B07756">
        <w:tc>
          <w:tcPr>
            <w:tcW w:w="10490" w:type="dxa"/>
          </w:tcPr>
          <w:p w:rsidR="00BD0E99" w:rsidRPr="009D430E" w:rsidRDefault="009B29CD" w:rsidP="009D430E">
            <w:pPr>
              <w:spacing w:before="60" w:after="60"/>
              <w:jc w:val="both"/>
              <w:rPr>
                <w:rFonts w:ascii="Arial" w:hAnsi="Arial" w:cs="Arial"/>
                <w:b/>
              </w:rPr>
            </w:pPr>
            <w:r>
              <w:rPr>
                <w:rFonts w:ascii="Arial" w:hAnsi="Arial" w:cs="Arial"/>
                <w:b/>
              </w:rPr>
              <w:t>Strategic progress</w:t>
            </w:r>
            <w:r w:rsidR="00936CE7" w:rsidRPr="009D430E">
              <w:rPr>
                <w:rFonts w:ascii="Arial" w:hAnsi="Arial" w:cs="Arial"/>
                <w:b/>
              </w:rPr>
              <w:t xml:space="preserve"> </w:t>
            </w:r>
          </w:p>
        </w:tc>
      </w:tr>
      <w:tr w:rsidR="00936CE7" w:rsidRPr="009D430E" w:rsidTr="00B07756">
        <w:trPr>
          <w:trHeight w:val="2446"/>
        </w:trPr>
        <w:tc>
          <w:tcPr>
            <w:tcW w:w="10490" w:type="dxa"/>
          </w:tcPr>
          <w:p w:rsidR="00B55504" w:rsidRDefault="00B55504" w:rsidP="00B55504">
            <w:pPr>
              <w:spacing w:before="60" w:after="60"/>
              <w:jc w:val="both"/>
              <w:rPr>
                <w:rFonts w:ascii="Arial" w:hAnsi="Arial" w:cs="Arial"/>
              </w:rPr>
            </w:pPr>
            <w:r w:rsidRPr="009D430E">
              <w:rPr>
                <w:rFonts w:ascii="Arial" w:hAnsi="Arial" w:cs="Arial"/>
                <w:b/>
              </w:rPr>
              <w:t>Enhancing our portfolio of preferred brands</w:t>
            </w:r>
          </w:p>
          <w:p w:rsidR="00B55504" w:rsidRPr="009B29CD" w:rsidRDefault="00B55504" w:rsidP="00B55504">
            <w:pPr>
              <w:pStyle w:val="ListParagraph"/>
              <w:numPr>
                <w:ilvl w:val="0"/>
                <w:numId w:val="22"/>
              </w:numPr>
              <w:spacing w:before="60" w:after="60"/>
              <w:ind w:left="318" w:hanging="284"/>
              <w:jc w:val="both"/>
              <w:rPr>
                <w:rFonts w:ascii="Arial" w:hAnsi="Arial" w:cs="Arial"/>
                <w:sz w:val="20"/>
                <w:szCs w:val="20"/>
              </w:rPr>
            </w:pPr>
            <w:r w:rsidRPr="009B29CD">
              <w:rPr>
                <w:rFonts w:ascii="Arial" w:hAnsi="Arial" w:cs="Arial"/>
                <w:sz w:val="20"/>
                <w:szCs w:val="20"/>
              </w:rPr>
              <w:t xml:space="preserve">We </w:t>
            </w:r>
            <w:r w:rsidR="00CA28D9">
              <w:rPr>
                <w:rFonts w:ascii="Arial" w:hAnsi="Arial" w:cs="Arial"/>
                <w:sz w:val="20"/>
                <w:szCs w:val="20"/>
              </w:rPr>
              <w:t>continue to develop the Holiday Inn brand family</w:t>
            </w:r>
            <w:r w:rsidR="00706DF7">
              <w:rPr>
                <w:rFonts w:ascii="Arial" w:hAnsi="Arial" w:cs="Arial"/>
                <w:sz w:val="20"/>
                <w:szCs w:val="20"/>
              </w:rPr>
              <w:t>, the largest in the industry,</w:t>
            </w:r>
            <w:r w:rsidR="00CA28D9">
              <w:rPr>
                <w:rFonts w:ascii="Arial" w:hAnsi="Arial" w:cs="Arial"/>
                <w:sz w:val="20"/>
                <w:szCs w:val="20"/>
              </w:rPr>
              <w:t xml:space="preserve"> in</w:t>
            </w:r>
            <w:r w:rsidR="00706DF7">
              <w:rPr>
                <w:rFonts w:ascii="Arial" w:hAnsi="Arial" w:cs="Arial"/>
                <w:sz w:val="20"/>
                <w:szCs w:val="20"/>
              </w:rPr>
              <w:t>to</w:t>
            </w:r>
            <w:r w:rsidR="00CA28D9">
              <w:rPr>
                <w:rFonts w:ascii="Arial" w:hAnsi="Arial" w:cs="Arial"/>
                <w:sz w:val="20"/>
                <w:szCs w:val="20"/>
              </w:rPr>
              <w:t xml:space="preserve"> established and new markets</w:t>
            </w:r>
            <w:r w:rsidR="004271A8">
              <w:rPr>
                <w:rFonts w:ascii="Arial" w:hAnsi="Arial" w:cs="Arial"/>
                <w:sz w:val="20"/>
                <w:szCs w:val="20"/>
              </w:rPr>
              <w:t>.</w:t>
            </w:r>
            <w:r w:rsidR="00CA28D9">
              <w:rPr>
                <w:rFonts w:ascii="Arial" w:hAnsi="Arial" w:cs="Arial"/>
                <w:sz w:val="20"/>
                <w:szCs w:val="20"/>
              </w:rPr>
              <w:t xml:space="preserve"> 5k rooms were opened</w:t>
            </w:r>
            <w:r w:rsidR="009A781A">
              <w:rPr>
                <w:rFonts w:ascii="Arial" w:hAnsi="Arial" w:cs="Arial"/>
                <w:sz w:val="20"/>
                <w:szCs w:val="20"/>
              </w:rPr>
              <w:t xml:space="preserve"> and 9k signed into the pipeline</w:t>
            </w:r>
            <w:r w:rsidR="00CA28D9">
              <w:rPr>
                <w:rFonts w:ascii="Arial" w:hAnsi="Arial" w:cs="Arial"/>
                <w:sz w:val="20"/>
                <w:szCs w:val="20"/>
              </w:rPr>
              <w:t xml:space="preserve"> in the quarter</w:t>
            </w:r>
            <w:r w:rsidR="004271A8">
              <w:rPr>
                <w:rFonts w:ascii="Arial" w:hAnsi="Arial" w:cs="Arial"/>
                <w:sz w:val="20"/>
                <w:szCs w:val="20"/>
              </w:rPr>
              <w:t>, and</w:t>
            </w:r>
            <w:r w:rsidRPr="009B29CD">
              <w:rPr>
                <w:rFonts w:ascii="Arial" w:hAnsi="Arial" w:cs="Arial"/>
                <w:sz w:val="20"/>
                <w:szCs w:val="20"/>
              </w:rPr>
              <w:t xml:space="preserve"> </w:t>
            </w:r>
            <w:r w:rsidR="00031016">
              <w:rPr>
                <w:rFonts w:ascii="Arial" w:hAnsi="Arial" w:cs="Arial"/>
                <w:sz w:val="20"/>
                <w:szCs w:val="20"/>
              </w:rPr>
              <w:t>Holiday Inn</w:t>
            </w:r>
            <w:r w:rsidR="00CA28D9">
              <w:rPr>
                <w:rFonts w:ascii="Arial" w:hAnsi="Arial" w:cs="Arial"/>
                <w:sz w:val="20"/>
                <w:szCs w:val="20"/>
              </w:rPr>
              <w:t xml:space="preserve"> now has a presence in</w:t>
            </w:r>
            <w:r w:rsidRPr="009B29CD">
              <w:rPr>
                <w:rFonts w:ascii="Arial" w:hAnsi="Arial" w:cs="Arial"/>
                <w:sz w:val="20"/>
                <w:szCs w:val="20"/>
              </w:rPr>
              <w:t xml:space="preserve"> 75 countries.</w:t>
            </w:r>
          </w:p>
          <w:p w:rsidR="00B55504" w:rsidRPr="009B29CD" w:rsidRDefault="00130406" w:rsidP="00B55504">
            <w:pPr>
              <w:pStyle w:val="ListParagraph"/>
              <w:numPr>
                <w:ilvl w:val="0"/>
                <w:numId w:val="22"/>
              </w:numPr>
              <w:spacing w:before="60" w:after="60"/>
              <w:ind w:left="318" w:hanging="284"/>
              <w:jc w:val="both"/>
              <w:rPr>
                <w:rFonts w:ascii="Arial" w:hAnsi="Arial" w:cs="Arial"/>
                <w:sz w:val="20"/>
                <w:szCs w:val="20"/>
              </w:rPr>
            </w:pPr>
            <w:r>
              <w:rPr>
                <w:rFonts w:ascii="Arial" w:hAnsi="Arial" w:cs="Arial"/>
                <w:sz w:val="20"/>
                <w:szCs w:val="20"/>
              </w:rPr>
              <w:t>We</w:t>
            </w:r>
            <w:r w:rsidR="00B55504" w:rsidRPr="009B29CD">
              <w:rPr>
                <w:rFonts w:ascii="Arial" w:hAnsi="Arial" w:cs="Arial"/>
                <w:sz w:val="20"/>
                <w:szCs w:val="20"/>
              </w:rPr>
              <w:t xml:space="preserve"> open</w:t>
            </w:r>
            <w:r>
              <w:rPr>
                <w:rFonts w:ascii="Arial" w:hAnsi="Arial" w:cs="Arial"/>
                <w:sz w:val="20"/>
                <w:szCs w:val="20"/>
              </w:rPr>
              <w:t>ed</w:t>
            </w:r>
            <w:r w:rsidR="00B55504" w:rsidRPr="009B29CD">
              <w:rPr>
                <w:rFonts w:ascii="Arial" w:hAnsi="Arial" w:cs="Arial"/>
                <w:sz w:val="20"/>
                <w:szCs w:val="20"/>
              </w:rPr>
              <w:t xml:space="preserve"> Hotel Indigo </w:t>
            </w:r>
            <w:r>
              <w:rPr>
                <w:rFonts w:ascii="Arial" w:hAnsi="Arial" w:cs="Arial"/>
                <w:sz w:val="20"/>
                <w:szCs w:val="20"/>
              </w:rPr>
              <w:t xml:space="preserve">in two new markets, Thailand and </w:t>
            </w:r>
            <w:r w:rsidR="00B55504" w:rsidRPr="009B29CD">
              <w:rPr>
                <w:rFonts w:ascii="Arial" w:hAnsi="Arial" w:cs="Arial"/>
                <w:sz w:val="20"/>
                <w:szCs w:val="20"/>
              </w:rPr>
              <w:t>Finland</w:t>
            </w:r>
            <w:r>
              <w:rPr>
                <w:rFonts w:ascii="Arial" w:hAnsi="Arial" w:cs="Arial"/>
                <w:sz w:val="20"/>
                <w:szCs w:val="20"/>
              </w:rPr>
              <w:t xml:space="preserve">, and </w:t>
            </w:r>
            <w:r w:rsidR="00273F9D">
              <w:rPr>
                <w:rFonts w:ascii="Arial" w:hAnsi="Arial" w:cs="Arial"/>
                <w:sz w:val="20"/>
                <w:szCs w:val="20"/>
              </w:rPr>
              <w:t>secured two</w:t>
            </w:r>
            <w:r w:rsidR="00B55504" w:rsidRPr="009B29CD">
              <w:rPr>
                <w:rFonts w:ascii="Arial" w:hAnsi="Arial" w:cs="Arial"/>
                <w:sz w:val="20"/>
                <w:szCs w:val="20"/>
              </w:rPr>
              <w:t xml:space="preserve"> signings in Bali as we continue to roll </w:t>
            </w:r>
            <w:r>
              <w:rPr>
                <w:rFonts w:ascii="Arial" w:hAnsi="Arial" w:cs="Arial"/>
                <w:sz w:val="20"/>
                <w:szCs w:val="20"/>
              </w:rPr>
              <w:t xml:space="preserve">out </w:t>
            </w:r>
            <w:r w:rsidR="00B55504" w:rsidRPr="009B29CD">
              <w:rPr>
                <w:rFonts w:ascii="Arial" w:hAnsi="Arial" w:cs="Arial"/>
                <w:sz w:val="20"/>
                <w:szCs w:val="20"/>
              </w:rPr>
              <w:t>the brand globally.</w:t>
            </w:r>
          </w:p>
          <w:p w:rsidR="00B55504" w:rsidRDefault="00B55504" w:rsidP="00B55504">
            <w:pPr>
              <w:pStyle w:val="ListParagraph"/>
              <w:numPr>
                <w:ilvl w:val="0"/>
                <w:numId w:val="22"/>
              </w:numPr>
              <w:spacing w:before="60" w:after="60"/>
              <w:ind w:left="318" w:hanging="284"/>
              <w:jc w:val="both"/>
              <w:rPr>
                <w:rFonts w:ascii="Arial" w:hAnsi="Arial" w:cs="Arial"/>
                <w:sz w:val="20"/>
                <w:szCs w:val="20"/>
              </w:rPr>
            </w:pPr>
            <w:r w:rsidRPr="009B29CD">
              <w:rPr>
                <w:rFonts w:ascii="Arial" w:hAnsi="Arial" w:cs="Arial"/>
                <w:sz w:val="20"/>
                <w:szCs w:val="20"/>
              </w:rPr>
              <w:t xml:space="preserve">The integration of Kimpton </w:t>
            </w:r>
            <w:r w:rsidR="001D1966">
              <w:rPr>
                <w:rFonts w:ascii="Arial" w:hAnsi="Arial" w:cs="Arial"/>
                <w:sz w:val="20"/>
                <w:szCs w:val="20"/>
              </w:rPr>
              <w:t>is progressing</w:t>
            </w:r>
            <w:r w:rsidR="00F15980">
              <w:rPr>
                <w:rFonts w:ascii="Arial" w:hAnsi="Arial" w:cs="Arial"/>
                <w:sz w:val="20"/>
                <w:szCs w:val="20"/>
              </w:rPr>
              <w:t xml:space="preserve"> well</w:t>
            </w:r>
            <w:r w:rsidR="00620CE1">
              <w:rPr>
                <w:rFonts w:ascii="Arial" w:hAnsi="Arial" w:cs="Arial"/>
                <w:sz w:val="20"/>
                <w:szCs w:val="20"/>
              </w:rPr>
              <w:t>. Since</w:t>
            </w:r>
            <w:r w:rsidR="00F15980">
              <w:rPr>
                <w:rFonts w:ascii="Arial" w:hAnsi="Arial" w:cs="Arial"/>
                <w:sz w:val="20"/>
                <w:szCs w:val="20"/>
              </w:rPr>
              <w:t xml:space="preserve"> acquisition</w:t>
            </w:r>
            <w:r w:rsidR="00620CE1">
              <w:rPr>
                <w:rFonts w:ascii="Arial" w:hAnsi="Arial" w:cs="Arial"/>
                <w:sz w:val="20"/>
                <w:szCs w:val="20"/>
              </w:rPr>
              <w:t>,</w:t>
            </w:r>
            <w:r w:rsidR="00F15980">
              <w:rPr>
                <w:rFonts w:ascii="Arial" w:hAnsi="Arial" w:cs="Arial"/>
                <w:sz w:val="20"/>
                <w:szCs w:val="20"/>
              </w:rPr>
              <w:t xml:space="preserve"> we have secured four new signings</w:t>
            </w:r>
            <w:r w:rsidR="00273F9D">
              <w:rPr>
                <w:rFonts w:ascii="Arial" w:hAnsi="Arial" w:cs="Arial"/>
                <w:sz w:val="20"/>
                <w:szCs w:val="20"/>
              </w:rPr>
              <w:t>, and three</w:t>
            </w:r>
            <w:r w:rsidRPr="009B29CD">
              <w:rPr>
                <w:rFonts w:ascii="Arial" w:hAnsi="Arial" w:cs="Arial"/>
                <w:sz w:val="20"/>
                <w:szCs w:val="20"/>
              </w:rPr>
              <w:t xml:space="preserve"> new properties have opened</w:t>
            </w:r>
            <w:r w:rsidR="005E45B4">
              <w:rPr>
                <w:rFonts w:ascii="Arial" w:hAnsi="Arial" w:cs="Arial"/>
                <w:sz w:val="20"/>
                <w:szCs w:val="20"/>
              </w:rPr>
              <w:t xml:space="preserve">, growing the </w:t>
            </w:r>
            <w:r w:rsidR="00FF482C">
              <w:rPr>
                <w:rFonts w:ascii="Arial" w:hAnsi="Arial" w:cs="Arial"/>
                <w:sz w:val="20"/>
                <w:szCs w:val="20"/>
              </w:rPr>
              <w:t>room count by almost 5%</w:t>
            </w:r>
            <w:r w:rsidR="004271A8">
              <w:rPr>
                <w:rFonts w:ascii="Arial" w:hAnsi="Arial" w:cs="Arial"/>
                <w:sz w:val="20"/>
                <w:szCs w:val="20"/>
              </w:rPr>
              <w:t xml:space="preserve"> in just over two months</w:t>
            </w:r>
            <w:r w:rsidR="005E45B4">
              <w:rPr>
                <w:rFonts w:ascii="Arial" w:hAnsi="Arial" w:cs="Arial"/>
                <w:sz w:val="20"/>
                <w:szCs w:val="20"/>
              </w:rPr>
              <w:t>.</w:t>
            </w:r>
          </w:p>
          <w:p w:rsidR="00B55504" w:rsidRPr="00AD44AD" w:rsidRDefault="00B55504" w:rsidP="00B55504">
            <w:pPr>
              <w:pStyle w:val="ListParagraph"/>
              <w:numPr>
                <w:ilvl w:val="0"/>
                <w:numId w:val="22"/>
              </w:numPr>
              <w:spacing w:before="60" w:after="60"/>
              <w:ind w:left="318" w:hanging="284"/>
              <w:jc w:val="both"/>
              <w:rPr>
                <w:rFonts w:ascii="Arial" w:hAnsi="Arial" w:cs="Arial"/>
              </w:rPr>
            </w:pPr>
            <w:r w:rsidRPr="009B29CD">
              <w:rPr>
                <w:rFonts w:ascii="Arial" w:hAnsi="Arial" w:cs="Arial"/>
                <w:sz w:val="20"/>
                <w:szCs w:val="20"/>
              </w:rPr>
              <w:t>Staybridge Suites recorded its highes</w:t>
            </w:r>
            <w:r w:rsidR="00273F9D">
              <w:rPr>
                <w:rFonts w:ascii="Arial" w:hAnsi="Arial" w:cs="Arial"/>
                <w:sz w:val="20"/>
                <w:szCs w:val="20"/>
              </w:rPr>
              <w:t>t number of signings in Q1 for seven</w:t>
            </w:r>
            <w:r w:rsidR="00D31900">
              <w:rPr>
                <w:rFonts w:ascii="Arial" w:hAnsi="Arial" w:cs="Arial"/>
                <w:sz w:val="20"/>
                <w:szCs w:val="20"/>
              </w:rPr>
              <w:t xml:space="preserve"> years. T</w:t>
            </w:r>
            <w:r w:rsidRPr="009B29CD">
              <w:rPr>
                <w:rFonts w:ascii="Arial" w:hAnsi="Arial" w:cs="Arial"/>
                <w:sz w:val="20"/>
                <w:szCs w:val="20"/>
              </w:rPr>
              <w:t>he brand now has over 100 hotels in the pipeline.</w:t>
            </w:r>
          </w:p>
          <w:p w:rsidR="00473F76" w:rsidRPr="00473F76" w:rsidRDefault="00473F76">
            <w:pPr>
              <w:pStyle w:val="ListParagraph"/>
              <w:numPr>
                <w:ilvl w:val="0"/>
                <w:numId w:val="22"/>
              </w:numPr>
              <w:spacing w:before="60" w:after="60"/>
              <w:ind w:left="318" w:hanging="284"/>
              <w:jc w:val="both"/>
              <w:rPr>
                <w:rFonts w:ascii="Arial" w:hAnsi="Arial" w:cs="Arial"/>
                <w:sz w:val="20"/>
                <w:szCs w:val="20"/>
              </w:rPr>
            </w:pPr>
            <w:r>
              <w:rPr>
                <w:rFonts w:ascii="Arial" w:hAnsi="Arial" w:cs="Arial"/>
                <w:sz w:val="20"/>
                <w:szCs w:val="20"/>
              </w:rPr>
              <w:t>The f</w:t>
            </w:r>
            <w:r w:rsidRPr="0095721C">
              <w:rPr>
                <w:rFonts w:ascii="Arial" w:hAnsi="Arial" w:cs="Arial"/>
                <w:sz w:val="20"/>
                <w:szCs w:val="20"/>
              </w:rPr>
              <w:t xml:space="preserve">irst hotel for the </w:t>
            </w:r>
            <w:r>
              <w:rPr>
                <w:rFonts w:ascii="Arial" w:hAnsi="Arial" w:cs="Arial"/>
                <w:sz w:val="20"/>
                <w:szCs w:val="20"/>
              </w:rPr>
              <w:t>HUALUXE</w:t>
            </w:r>
            <w:r w:rsidRPr="0095721C">
              <w:rPr>
                <w:rFonts w:ascii="Arial" w:hAnsi="Arial" w:cs="Arial"/>
                <w:sz w:val="20"/>
                <w:szCs w:val="20"/>
              </w:rPr>
              <w:t xml:space="preserve"> Hotels </w:t>
            </w:r>
            <w:r>
              <w:rPr>
                <w:rFonts w:ascii="Arial" w:hAnsi="Arial" w:cs="Arial"/>
                <w:sz w:val="20"/>
                <w:szCs w:val="20"/>
              </w:rPr>
              <w:t>and</w:t>
            </w:r>
            <w:r w:rsidRPr="0095721C">
              <w:rPr>
                <w:rFonts w:ascii="Arial" w:hAnsi="Arial" w:cs="Arial"/>
                <w:sz w:val="20"/>
                <w:szCs w:val="20"/>
              </w:rPr>
              <w:t xml:space="preserve"> Resorts brand opened</w:t>
            </w:r>
            <w:r>
              <w:rPr>
                <w:rFonts w:ascii="Arial" w:hAnsi="Arial" w:cs="Arial"/>
                <w:sz w:val="20"/>
                <w:szCs w:val="20"/>
              </w:rPr>
              <w:t xml:space="preserve"> in Yangjiang</w:t>
            </w:r>
            <w:r w:rsidR="00ED0E87">
              <w:rPr>
                <w:rFonts w:ascii="Arial" w:hAnsi="Arial" w:cs="Arial"/>
                <w:sz w:val="20"/>
                <w:szCs w:val="20"/>
              </w:rPr>
              <w:t>,</w:t>
            </w:r>
            <w:r w:rsidR="00340652">
              <w:rPr>
                <w:rFonts w:ascii="Arial" w:hAnsi="Arial" w:cs="Arial"/>
                <w:sz w:val="20"/>
                <w:szCs w:val="20"/>
              </w:rPr>
              <w:t xml:space="preserve"> with the</w:t>
            </w:r>
            <w:r w:rsidR="00A5120D">
              <w:rPr>
                <w:rFonts w:ascii="Arial" w:hAnsi="Arial" w:cs="Arial"/>
                <w:sz w:val="20"/>
                <w:szCs w:val="20"/>
              </w:rPr>
              <w:t xml:space="preserve"> second scheduled to open in Nanchang</w:t>
            </w:r>
            <w:r w:rsidR="00340652">
              <w:rPr>
                <w:rFonts w:ascii="Arial" w:hAnsi="Arial" w:cs="Arial"/>
                <w:sz w:val="20"/>
                <w:szCs w:val="20"/>
              </w:rPr>
              <w:t xml:space="preserve"> during the second quarter of 2015</w:t>
            </w:r>
            <w:r w:rsidR="00A5120D">
              <w:rPr>
                <w:rFonts w:ascii="Arial" w:hAnsi="Arial" w:cs="Arial"/>
                <w:sz w:val="20"/>
                <w:szCs w:val="20"/>
              </w:rPr>
              <w:t>.</w:t>
            </w:r>
          </w:p>
          <w:p w:rsidR="00B55504" w:rsidRPr="00266499" w:rsidRDefault="00B55504" w:rsidP="009D430E">
            <w:pPr>
              <w:spacing w:before="60" w:after="60"/>
              <w:jc w:val="both"/>
              <w:rPr>
                <w:rFonts w:ascii="Arial" w:hAnsi="Arial" w:cs="Arial"/>
                <w:b/>
                <w:sz w:val="8"/>
                <w:szCs w:val="8"/>
              </w:rPr>
            </w:pPr>
          </w:p>
          <w:p w:rsidR="009B29CD" w:rsidRDefault="009B29CD" w:rsidP="009D430E">
            <w:pPr>
              <w:spacing w:before="60" w:after="60"/>
              <w:jc w:val="both"/>
              <w:rPr>
                <w:rFonts w:ascii="Arial" w:hAnsi="Arial" w:cs="Arial"/>
                <w:b/>
              </w:rPr>
            </w:pPr>
            <w:r w:rsidRPr="009B29CD">
              <w:rPr>
                <w:rFonts w:ascii="Arial" w:hAnsi="Arial" w:cs="Arial"/>
                <w:b/>
              </w:rPr>
              <w:t xml:space="preserve">Building and leveraging scale </w:t>
            </w:r>
          </w:p>
          <w:p w:rsidR="008F755B" w:rsidRPr="00130406" w:rsidRDefault="00936CE7" w:rsidP="009B29CD">
            <w:pPr>
              <w:pStyle w:val="ListParagraph"/>
              <w:numPr>
                <w:ilvl w:val="0"/>
                <w:numId w:val="21"/>
              </w:numPr>
              <w:spacing w:before="60" w:after="60"/>
              <w:ind w:left="318" w:hanging="284"/>
              <w:jc w:val="both"/>
              <w:rPr>
                <w:rFonts w:ascii="Arial" w:hAnsi="Arial" w:cs="Arial"/>
                <w:sz w:val="20"/>
                <w:szCs w:val="20"/>
              </w:rPr>
            </w:pPr>
            <w:r w:rsidRPr="00130406">
              <w:rPr>
                <w:rFonts w:ascii="Arial" w:hAnsi="Arial" w:cs="Arial"/>
                <w:sz w:val="20"/>
                <w:szCs w:val="20"/>
              </w:rPr>
              <w:t xml:space="preserve">Net </w:t>
            </w:r>
            <w:r w:rsidR="00CA28D9" w:rsidRPr="00130406">
              <w:rPr>
                <w:rFonts w:ascii="Arial" w:hAnsi="Arial" w:cs="Arial"/>
                <w:sz w:val="20"/>
                <w:szCs w:val="20"/>
              </w:rPr>
              <w:t>system size</w:t>
            </w:r>
            <w:r w:rsidR="00753A94" w:rsidRPr="00130406">
              <w:rPr>
                <w:rFonts w:ascii="Arial" w:hAnsi="Arial" w:cs="Arial"/>
                <w:sz w:val="20"/>
                <w:szCs w:val="20"/>
              </w:rPr>
              <w:t xml:space="preserve"> </w:t>
            </w:r>
            <w:r w:rsidRPr="00130406">
              <w:rPr>
                <w:rFonts w:ascii="Arial" w:hAnsi="Arial" w:cs="Arial"/>
                <w:sz w:val="20"/>
                <w:szCs w:val="20"/>
              </w:rPr>
              <w:t xml:space="preserve">up </w:t>
            </w:r>
            <w:r w:rsidR="00A13AE7" w:rsidRPr="00130406">
              <w:rPr>
                <w:rFonts w:ascii="Arial" w:hAnsi="Arial" w:cs="Arial"/>
                <w:sz w:val="20"/>
                <w:szCs w:val="20"/>
              </w:rPr>
              <w:t>4.9%</w:t>
            </w:r>
            <w:r w:rsidRPr="00130406">
              <w:rPr>
                <w:rFonts w:ascii="Arial" w:hAnsi="Arial" w:cs="Arial"/>
                <w:sz w:val="20"/>
                <w:szCs w:val="20"/>
              </w:rPr>
              <w:t xml:space="preserve"> year on year</w:t>
            </w:r>
            <w:r w:rsidR="00B55504" w:rsidRPr="00130406">
              <w:rPr>
                <w:rFonts w:ascii="Arial" w:hAnsi="Arial" w:cs="Arial"/>
                <w:sz w:val="20"/>
                <w:szCs w:val="20"/>
              </w:rPr>
              <w:t xml:space="preserve"> (3.3</w:t>
            </w:r>
            <w:r w:rsidR="00A13AE7" w:rsidRPr="00130406">
              <w:rPr>
                <w:rFonts w:ascii="Arial" w:hAnsi="Arial" w:cs="Arial"/>
                <w:sz w:val="20"/>
                <w:szCs w:val="20"/>
              </w:rPr>
              <w:t>% excluding Kimpton)</w:t>
            </w:r>
            <w:r w:rsidRPr="00130406">
              <w:rPr>
                <w:rFonts w:ascii="Arial" w:hAnsi="Arial" w:cs="Arial"/>
                <w:sz w:val="20"/>
                <w:szCs w:val="20"/>
              </w:rPr>
              <w:t xml:space="preserve"> to </w:t>
            </w:r>
            <w:r w:rsidR="00A13AE7" w:rsidRPr="00130406">
              <w:rPr>
                <w:rFonts w:ascii="Arial" w:hAnsi="Arial" w:cs="Arial"/>
                <w:sz w:val="20"/>
                <w:szCs w:val="20"/>
              </w:rPr>
              <w:t>72</w:t>
            </w:r>
            <w:r w:rsidR="00B55504" w:rsidRPr="00130406">
              <w:rPr>
                <w:rFonts w:ascii="Arial" w:hAnsi="Arial" w:cs="Arial"/>
                <w:sz w:val="20"/>
                <w:szCs w:val="20"/>
              </w:rPr>
              <w:t>3</w:t>
            </w:r>
            <w:r w:rsidRPr="00130406">
              <w:rPr>
                <w:rFonts w:ascii="Arial" w:hAnsi="Arial" w:cs="Arial"/>
                <w:sz w:val="20"/>
                <w:szCs w:val="20"/>
              </w:rPr>
              <w:t>k rooms (</w:t>
            </w:r>
            <w:r w:rsidR="00A13AE7" w:rsidRPr="00130406">
              <w:rPr>
                <w:rFonts w:ascii="Arial" w:hAnsi="Arial" w:cs="Arial"/>
                <w:sz w:val="20"/>
                <w:szCs w:val="20"/>
              </w:rPr>
              <w:t>4,921</w:t>
            </w:r>
            <w:r w:rsidRPr="00130406">
              <w:rPr>
                <w:rFonts w:ascii="Arial" w:hAnsi="Arial" w:cs="Arial"/>
                <w:sz w:val="20"/>
                <w:szCs w:val="20"/>
              </w:rPr>
              <w:t xml:space="preserve"> hotels)</w:t>
            </w:r>
            <w:r w:rsidR="00A13AE7" w:rsidRPr="00130406">
              <w:rPr>
                <w:rFonts w:ascii="Arial" w:hAnsi="Arial" w:cs="Arial"/>
                <w:sz w:val="20"/>
                <w:szCs w:val="20"/>
              </w:rPr>
              <w:t>.</w:t>
            </w:r>
            <w:r w:rsidR="008F755B" w:rsidRPr="00130406">
              <w:rPr>
                <w:rFonts w:ascii="Arial" w:hAnsi="Arial" w:cs="Arial"/>
                <w:sz w:val="20"/>
                <w:szCs w:val="20"/>
              </w:rPr>
              <w:t xml:space="preserve"> </w:t>
            </w:r>
          </w:p>
          <w:p w:rsidR="00936CE7" w:rsidRPr="00130406" w:rsidRDefault="00CA28D9" w:rsidP="009B29CD">
            <w:pPr>
              <w:pStyle w:val="ListParagraph"/>
              <w:numPr>
                <w:ilvl w:val="0"/>
                <w:numId w:val="21"/>
              </w:numPr>
              <w:spacing w:before="60" w:after="60"/>
              <w:ind w:left="318" w:hanging="284"/>
              <w:jc w:val="both"/>
              <w:rPr>
                <w:rFonts w:ascii="Arial" w:hAnsi="Arial" w:cs="Arial"/>
                <w:sz w:val="20"/>
                <w:szCs w:val="20"/>
              </w:rPr>
            </w:pPr>
            <w:r w:rsidRPr="00130406">
              <w:rPr>
                <w:rFonts w:ascii="Arial" w:hAnsi="Arial" w:cs="Arial"/>
                <w:sz w:val="20"/>
                <w:szCs w:val="20"/>
              </w:rPr>
              <w:t>7</w:t>
            </w:r>
            <w:r w:rsidR="00936CE7" w:rsidRPr="00130406">
              <w:rPr>
                <w:rFonts w:ascii="Arial" w:hAnsi="Arial" w:cs="Arial"/>
                <w:sz w:val="20"/>
                <w:szCs w:val="20"/>
              </w:rPr>
              <w:t>k rooms (</w:t>
            </w:r>
            <w:r w:rsidR="00A13AE7" w:rsidRPr="00130406">
              <w:rPr>
                <w:rFonts w:ascii="Arial" w:hAnsi="Arial" w:cs="Arial"/>
                <w:sz w:val="20"/>
                <w:szCs w:val="20"/>
              </w:rPr>
              <w:t>57</w:t>
            </w:r>
            <w:r w:rsidR="00235F7F" w:rsidRPr="00130406">
              <w:rPr>
                <w:rFonts w:ascii="Arial" w:hAnsi="Arial" w:cs="Arial"/>
                <w:sz w:val="20"/>
                <w:szCs w:val="20"/>
              </w:rPr>
              <w:t xml:space="preserve"> hotels) opened in the quarter and </w:t>
            </w:r>
            <w:r w:rsidR="008F755B" w:rsidRPr="00130406">
              <w:rPr>
                <w:rFonts w:ascii="Arial" w:hAnsi="Arial" w:cs="Arial"/>
                <w:sz w:val="20"/>
                <w:szCs w:val="20"/>
              </w:rPr>
              <w:t>6</w:t>
            </w:r>
            <w:r w:rsidR="00936CE7" w:rsidRPr="00130406">
              <w:rPr>
                <w:rFonts w:ascii="Arial" w:hAnsi="Arial" w:cs="Arial"/>
                <w:sz w:val="20"/>
                <w:szCs w:val="20"/>
              </w:rPr>
              <w:t>k rooms (</w:t>
            </w:r>
            <w:r w:rsidR="008F755B" w:rsidRPr="00130406">
              <w:rPr>
                <w:rFonts w:ascii="Arial" w:hAnsi="Arial" w:cs="Arial"/>
                <w:sz w:val="20"/>
                <w:szCs w:val="20"/>
              </w:rPr>
              <w:t>38</w:t>
            </w:r>
            <w:r w:rsidR="00243B85" w:rsidRPr="00130406">
              <w:rPr>
                <w:rFonts w:ascii="Arial" w:hAnsi="Arial" w:cs="Arial"/>
                <w:sz w:val="20"/>
                <w:szCs w:val="20"/>
              </w:rPr>
              <w:t xml:space="preserve"> </w:t>
            </w:r>
            <w:r w:rsidR="00235F7F" w:rsidRPr="00130406">
              <w:rPr>
                <w:rFonts w:ascii="Arial" w:hAnsi="Arial" w:cs="Arial"/>
                <w:sz w:val="20"/>
                <w:szCs w:val="20"/>
              </w:rPr>
              <w:t xml:space="preserve">hotels) </w:t>
            </w:r>
            <w:r w:rsidR="00620CE1">
              <w:rPr>
                <w:rFonts w:ascii="Arial" w:hAnsi="Arial" w:cs="Arial"/>
                <w:sz w:val="20"/>
                <w:szCs w:val="20"/>
              </w:rPr>
              <w:t xml:space="preserve">were </w:t>
            </w:r>
            <w:r w:rsidR="00936CE7" w:rsidRPr="00130406">
              <w:rPr>
                <w:rFonts w:ascii="Arial" w:hAnsi="Arial" w:cs="Arial"/>
                <w:sz w:val="20"/>
                <w:szCs w:val="20"/>
              </w:rPr>
              <w:t>removed</w:t>
            </w:r>
            <w:r w:rsidR="000D172F" w:rsidRPr="00130406">
              <w:rPr>
                <w:rFonts w:ascii="Arial" w:hAnsi="Arial" w:cs="Arial"/>
                <w:sz w:val="20"/>
                <w:szCs w:val="20"/>
              </w:rPr>
              <w:t>,</w:t>
            </w:r>
            <w:r w:rsidR="003B5189" w:rsidRPr="00130406">
              <w:rPr>
                <w:rFonts w:ascii="Arial" w:hAnsi="Arial" w:cs="Arial"/>
                <w:sz w:val="20"/>
                <w:szCs w:val="20"/>
              </w:rPr>
              <w:t xml:space="preserve"> </w:t>
            </w:r>
            <w:r w:rsidR="00F80DCE">
              <w:rPr>
                <w:rFonts w:ascii="Arial" w:hAnsi="Arial" w:cs="Arial"/>
                <w:sz w:val="20"/>
                <w:szCs w:val="20"/>
              </w:rPr>
              <w:t xml:space="preserve">with </w:t>
            </w:r>
            <w:r w:rsidR="008F755B" w:rsidRPr="00130406">
              <w:rPr>
                <w:rFonts w:ascii="Arial" w:hAnsi="Arial" w:cs="Arial"/>
                <w:sz w:val="20"/>
                <w:szCs w:val="20"/>
              </w:rPr>
              <w:t>3k in</w:t>
            </w:r>
            <w:r w:rsidR="00F80DCE">
              <w:rPr>
                <w:rFonts w:ascii="Arial" w:hAnsi="Arial" w:cs="Arial"/>
                <w:sz w:val="20"/>
                <w:szCs w:val="20"/>
              </w:rPr>
              <w:t xml:space="preserve"> the</w:t>
            </w:r>
            <w:r w:rsidR="008F755B" w:rsidRPr="00130406">
              <w:rPr>
                <w:rFonts w:ascii="Arial" w:hAnsi="Arial" w:cs="Arial"/>
                <w:sz w:val="20"/>
                <w:szCs w:val="20"/>
              </w:rPr>
              <w:t xml:space="preserve"> Americas.</w:t>
            </w:r>
          </w:p>
          <w:p w:rsidR="008F755B" w:rsidRPr="00130406" w:rsidRDefault="00936CE7" w:rsidP="009B29CD">
            <w:pPr>
              <w:pStyle w:val="ListParagraph"/>
              <w:numPr>
                <w:ilvl w:val="0"/>
                <w:numId w:val="21"/>
              </w:numPr>
              <w:spacing w:before="60" w:after="60"/>
              <w:ind w:left="318" w:hanging="284"/>
              <w:jc w:val="both"/>
              <w:rPr>
                <w:rFonts w:ascii="Arial" w:hAnsi="Arial" w:cs="Arial"/>
                <w:sz w:val="20"/>
                <w:szCs w:val="20"/>
              </w:rPr>
            </w:pPr>
            <w:r w:rsidRPr="00130406">
              <w:rPr>
                <w:rFonts w:ascii="Arial" w:hAnsi="Arial" w:cs="Arial"/>
                <w:sz w:val="20"/>
                <w:szCs w:val="20"/>
              </w:rPr>
              <w:t>IHG’s</w:t>
            </w:r>
            <w:r w:rsidR="008F755B" w:rsidRPr="00130406">
              <w:rPr>
                <w:rFonts w:ascii="Arial" w:hAnsi="Arial" w:cs="Arial"/>
                <w:sz w:val="20"/>
                <w:szCs w:val="20"/>
              </w:rPr>
              <w:t xml:space="preserve"> p</w:t>
            </w:r>
            <w:r w:rsidR="004C4090" w:rsidRPr="00130406">
              <w:rPr>
                <w:rFonts w:ascii="Arial" w:hAnsi="Arial" w:cs="Arial"/>
                <w:sz w:val="20"/>
                <w:szCs w:val="20"/>
              </w:rPr>
              <w:t>ipeline increased to 201</w:t>
            </w:r>
            <w:r w:rsidR="008F755B" w:rsidRPr="00130406">
              <w:rPr>
                <w:rFonts w:ascii="Arial" w:hAnsi="Arial" w:cs="Arial"/>
                <w:sz w:val="20"/>
                <w:szCs w:val="20"/>
              </w:rPr>
              <w:t>k rooms</w:t>
            </w:r>
            <w:r w:rsidRPr="00130406">
              <w:rPr>
                <w:rFonts w:ascii="Arial" w:hAnsi="Arial" w:cs="Arial"/>
                <w:sz w:val="20"/>
                <w:szCs w:val="20"/>
              </w:rPr>
              <w:t xml:space="preserve">, with </w:t>
            </w:r>
            <w:r w:rsidR="008F755B" w:rsidRPr="00130406">
              <w:rPr>
                <w:rFonts w:ascii="Arial" w:hAnsi="Arial" w:cs="Arial"/>
                <w:sz w:val="20"/>
                <w:szCs w:val="20"/>
              </w:rPr>
              <w:t xml:space="preserve">nearly </w:t>
            </w:r>
            <w:r w:rsidR="00CA28D9" w:rsidRPr="00130406">
              <w:rPr>
                <w:rFonts w:ascii="Arial" w:hAnsi="Arial" w:cs="Arial"/>
                <w:sz w:val="20"/>
                <w:szCs w:val="20"/>
              </w:rPr>
              <w:t>90% in our priority markets and 45% under construction.</w:t>
            </w:r>
            <w:r w:rsidR="00132568" w:rsidRPr="00130406">
              <w:rPr>
                <w:rFonts w:ascii="Arial" w:hAnsi="Arial" w:cs="Arial"/>
                <w:sz w:val="20"/>
                <w:szCs w:val="20"/>
              </w:rPr>
              <w:t xml:space="preserve"> </w:t>
            </w:r>
          </w:p>
          <w:p w:rsidR="00B55504" w:rsidRPr="00130406" w:rsidRDefault="004C4090" w:rsidP="00B55504">
            <w:pPr>
              <w:pStyle w:val="ListParagraph"/>
              <w:numPr>
                <w:ilvl w:val="0"/>
                <w:numId w:val="21"/>
              </w:numPr>
              <w:spacing w:before="60" w:after="60"/>
              <w:ind w:left="318" w:hanging="284"/>
              <w:jc w:val="both"/>
              <w:rPr>
                <w:rFonts w:ascii="Arial" w:hAnsi="Arial" w:cs="Arial"/>
                <w:sz w:val="20"/>
                <w:szCs w:val="20"/>
              </w:rPr>
            </w:pPr>
            <w:r w:rsidRPr="00130406">
              <w:rPr>
                <w:rFonts w:ascii="Arial" w:hAnsi="Arial" w:cs="Arial"/>
                <w:sz w:val="20"/>
                <w:szCs w:val="20"/>
              </w:rPr>
              <w:t>1</w:t>
            </w:r>
            <w:r w:rsidR="001E3EDB" w:rsidRPr="00130406">
              <w:rPr>
                <w:rFonts w:ascii="Arial" w:hAnsi="Arial" w:cs="Arial"/>
                <w:sz w:val="20"/>
                <w:szCs w:val="20"/>
              </w:rPr>
              <w:t>4</w:t>
            </w:r>
            <w:r w:rsidR="008F755B" w:rsidRPr="00130406">
              <w:rPr>
                <w:rFonts w:ascii="Arial" w:hAnsi="Arial" w:cs="Arial"/>
                <w:sz w:val="20"/>
                <w:szCs w:val="20"/>
              </w:rPr>
              <w:t xml:space="preserve">k </w:t>
            </w:r>
            <w:r w:rsidR="001E3EDB" w:rsidRPr="00130406">
              <w:rPr>
                <w:rFonts w:ascii="Arial" w:hAnsi="Arial" w:cs="Arial"/>
                <w:sz w:val="20"/>
                <w:szCs w:val="20"/>
              </w:rPr>
              <w:t xml:space="preserve">new </w:t>
            </w:r>
            <w:r w:rsidR="008F755B" w:rsidRPr="00130406">
              <w:rPr>
                <w:rFonts w:ascii="Arial" w:hAnsi="Arial" w:cs="Arial"/>
                <w:sz w:val="20"/>
                <w:szCs w:val="20"/>
              </w:rPr>
              <w:t>rooms</w:t>
            </w:r>
            <w:r w:rsidR="001E3EDB" w:rsidRPr="00130406">
              <w:rPr>
                <w:rFonts w:ascii="Arial" w:hAnsi="Arial" w:cs="Arial"/>
                <w:sz w:val="20"/>
                <w:szCs w:val="20"/>
              </w:rPr>
              <w:t xml:space="preserve"> (102</w:t>
            </w:r>
            <w:r w:rsidR="00936CE7" w:rsidRPr="00130406">
              <w:rPr>
                <w:rFonts w:ascii="Arial" w:hAnsi="Arial" w:cs="Arial"/>
                <w:sz w:val="20"/>
                <w:szCs w:val="20"/>
              </w:rPr>
              <w:t xml:space="preserve"> hotels) </w:t>
            </w:r>
            <w:r w:rsidR="00132568" w:rsidRPr="00130406">
              <w:rPr>
                <w:rFonts w:ascii="Arial" w:hAnsi="Arial" w:cs="Arial"/>
                <w:sz w:val="20"/>
                <w:szCs w:val="20"/>
              </w:rPr>
              <w:t>were signed into the pipeline</w:t>
            </w:r>
            <w:r w:rsidR="009A781A" w:rsidRPr="00130406">
              <w:rPr>
                <w:rFonts w:ascii="Arial" w:hAnsi="Arial" w:cs="Arial"/>
                <w:sz w:val="20"/>
                <w:szCs w:val="20"/>
              </w:rPr>
              <w:t xml:space="preserve"> as</w:t>
            </w:r>
            <w:r w:rsidR="003D7381" w:rsidRPr="00130406">
              <w:rPr>
                <w:rFonts w:ascii="Arial" w:hAnsi="Arial" w:cs="Arial"/>
                <w:sz w:val="20"/>
                <w:szCs w:val="20"/>
              </w:rPr>
              <w:t xml:space="preserve"> </w:t>
            </w:r>
            <w:r w:rsidR="009A781A" w:rsidRPr="00130406">
              <w:rPr>
                <w:rFonts w:ascii="Arial" w:hAnsi="Arial" w:cs="Arial"/>
                <w:sz w:val="20"/>
                <w:szCs w:val="20"/>
              </w:rPr>
              <w:t>f</w:t>
            </w:r>
            <w:r w:rsidR="0093657C" w:rsidRPr="00130406">
              <w:rPr>
                <w:rFonts w:ascii="Arial" w:hAnsi="Arial" w:cs="Arial"/>
                <w:sz w:val="20"/>
                <w:szCs w:val="20"/>
              </w:rPr>
              <w:t xml:space="preserve">inancing </w:t>
            </w:r>
            <w:r w:rsidR="00CA28D9" w:rsidRPr="00130406">
              <w:rPr>
                <w:rFonts w:ascii="Arial" w:hAnsi="Arial" w:cs="Arial"/>
                <w:sz w:val="20"/>
                <w:szCs w:val="20"/>
              </w:rPr>
              <w:t>conditions</w:t>
            </w:r>
            <w:r w:rsidR="00ED4C9E">
              <w:rPr>
                <w:rFonts w:ascii="Arial" w:hAnsi="Arial" w:cs="Arial"/>
                <w:sz w:val="20"/>
                <w:szCs w:val="20"/>
              </w:rPr>
              <w:t>, particularly</w:t>
            </w:r>
            <w:r w:rsidR="00CA28D9" w:rsidRPr="00130406">
              <w:rPr>
                <w:rFonts w:ascii="Arial" w:hAnsi="Arial" w:cs="Arial"/>
                <w:sz w:val="20"/>
                <w:szCs w:val="20"/>
              </w:rPr>
              <w:t xml:space="preserve"> in the US</w:t>
            </w:r>
            <w:r w:rsidR="00ED4C9E">
              <w:rPr>
                <w:rFonts w:ascii="Arial" w:hAnsi="Arial" w:cs="Arial"/>
                <w:sz w:val="20"/>
                <w:szCs w:val="20"/>
              </w:rPr>
              <w:t>,</w:t>
            </w:r>
            <w:r w:rsidR="00CA28D9" w:rsidRPr="00130406">
              <w:rPr>
                <w:rFonts w:ascii="Arial" w:hAnsi="Arial" w:cs="Arial"/>
                <w:sz w:val="20"/>
                <w:szCs w:val="20"/>
              </w:rPr>
              <w:t xml:space="preserve"> remain</w:t>
            </w:r>
            <w:r w:rsidR="0093657C" w:rsidRPr="00130406">
              <w:rPr>
                <w:rFonts w:ascii="Arial" w:hAnsi="Arial" w:cs="Arial"/>
                <w:sz w:val="20"/>
                <w:szCs w:val="20"/>
              </w:rPr>
              <w:t xml:space="preserve"> favourable for </w:t>
            </w:r>
            <w:r w:rsidR="00C26D08">
              <w:rPr>
                <w:rFonts w:ascii="Arial" w:hAnsi="Arial" w:cs="Arial"/>
                <w:sz w:val="20"/>
                <w:szCs w:val="20"/>
              </w:rPr>
              <w:t xml:space="preserve">our preferred </w:t>
            </w:r>
            <w:r w:rsidR="0093657C" w:rsidRPr="00130406">
              <w:rPr>
                <w:rFonts w:ascii="Arial" w:hAnsi="Arial" w:cs="Arial"/>
                <w:sz w:val="20"/>
                <w:szCs w:val="20"/>
              </w:rPr>
              <w:t>brands.</w:t>
            </w:r>
          </w:p>
          <w:p w:rsidR="009B29CD" w:rsidRPr="00266499" w:rsidRDefault="009B29CD" w:rsidP="00B55504">
            <w:pPr>
              <w:spacing w:before="60" w:after="60"/>
              <w:jc w:val="both"/>
              <w:rPr>
                <w:rFonts w:ascii="Arial" w:hAnsi="Arial" w:cs="Arial"/>
                <w:sz w:val="8"/>
                <w:szCs w:val="8"/>
              </w:rPr>
            </w:pPr>
          </w:p>
          <w:p w:rsidR="009B29CD" w:rsidRDefault="009B29CD" w:rsidP="009B29CD">
            <w:pPr>
              <w:spacing w:before="60" w:after="60"/>
              <w:jc w:val="both"/>
              <w:rPr>
                <w:rFonts w:ascii="Arial" w:hAnsi="Arial" w:cs="Arial"/>
              </w:rPr>
            </w:pPr>
            <w:r w:rsidRPr="009D430E">
              <w:rPr>
                <w:rFonts w:ascii="Arial" w:hAnsi="Arial" w:cs="Arial"/>
                <w:b/>
              </w:rPr>
              <w:t>Driving revenue delivery through technology and loyalty</w:t>
            </w:r>
          </w:p>
          <w:p w:rsidR="00F15980" w:rsidRDefault="00F15980" w:rsidP="00F15980">
            <w:pPr>
              <w:pStyle w:val="ListParagraph"/>
              <w:numPr>
                <w:ilvl w:val="0"/>
                <w:numId w:val="23"/>
              </w:numPr>
              <w:spacing w:before="60" w:after="60"/>
              <w:ind w:left="318" w:hanging="284"/>
              <w:jc w:val="both"/>
              <w:rPr>
                <w:rFonts w:ascii="Arial" w:hAnsi="Arial" w:cs="Arial"/>
                <w:sz w:val="20"/>
                <w:szCs w:val="20"/>
              </w:rPr>
            </w:pPr>
            <w:r>
              <w:rPr>
                <w:rFonts w:ascii="Arial" w:hAnsi="Arial" w:cs="Arial"/>
                <w:sz w:val="20"/>
                <w:szCs w:val="20"/>
              </w:rPr>
              <w:t xml:space="preserve">IHG </w:t>
            </w:r>
            <w:r w:rsidR="00C26D08">
              <w:rPr>
                <w:rFonts w:ascii="Arial" w:hAnsi="Arial" w:cs="Arial"/>
                <w:sz w:val="20"/>
                <w:szCs w:val="20"/>
              </w:rPr>
              <w:t xml:space="preserve">and </w:t>
            </w:r>
            <w:r w:rsidRPr="00F15980">
              <w:rPr>
                <w:rFonts w:ascii="Arial" w:hAnsi="Arial" w:cs="Arial"/>
                <w:sz w:val="20"/>
                <w:szCs w:val="20"/>
              </w:rPr>
              <w:t>Amadeus</w:t>
            </w:r>
            <w:r>
              <w:rPr>
                <w:rFonts w:ascii="Arial" w:hAnsi="Arial" w:cs="Arial"/>
                <w:sz w:val="20"/>
                <w:szCs w:val="20"/>
              </w:rPr>
              <w:t xml:space="preserve"> </w:t>
            </w:r>
            <w:r w:rsidR="00C26D08">
              <w:rPr>
                <w:rFonts w:ascii="Arial" w:hAnsi="Arial" w:cs="Arial"/>
                <w:sz w:val="20"/>
                <w:szCs w:val="20"/>
              </w:rPr>
              <w:t xml:space="preserve">will </w:t>
            </w:r>
            <w:r w:rsidRPr="00F15980">
              <w:rPr>
                <w:rFonts w:ascii="Arial" w:hAnsi="Arial" w:cs="Arial"/>
                <w:sz w:val="20"/>
                <w:szCs w:val="20"/>
              </w:rPr>
              <w:t xml:space="preserve">develop a next-generation Guest Reservation System that will revolutionise the technological foundations of the global hospitality industry. Amadeus will use a new cloud-based community model, a first in the hotel sector and similar to the model it developed </w:t>
            </w:r>
            <w:r w:rsidR="00C26D08">
              <w:rPr>
                <w:rFonts w:ascii="Arial" w:hAnsi="Arial" w:cs="Arial"/>
                <w:sz w:val="20"/>
                <w:szCs w:val="20"/>
              </w:rPr>
              <w:t xml:space="preserve">across </w:t>
            </w:r>
            <w:r w:rsidRPr="00F15980">
              <w:rPr>
                <w:rFonts w:ascii="Arial" w:hAnsi="Arial" w:cs="Arial"/>
                <w:sz w:val="20"/>
                <w:szCs w:val="20"/>
              </w:rPr>
              <w:t xml:space="preserve">the global airline industry. </w:t>
            </w:r>
            <w:r>
              <w:rPr>
                <w:rFonts w:ascii="Arial" w:hAnsi="Arial" w:cs="Arial"/>
                <w:sz w:val="20"/>
                <w:szCs w:val="20"/>
              </w:rPr>
              <w:t>This follows a successful engineering study</w:t>
            </w:r>
            <w:r w:rsidR="00620CE1">
              <w:rPr>
                <w:rFonts w:ascii="Arial" w:hAnsi="Arial" w:cs="Arial"/>
                <w:sz w:val="20"/>
                <w:szCs w:val="20"/>
              </w:rPr>
              <w:t>,</w:t>
            </w:r>
            <w:r>
              <w:rPr>
                <w:rFonts w:ascii="Arial" w:hAnsi="Arial" w:cs="Arial"/>
                <w:sz w:val="20"/>
                <w:szCs w:val="20"/>
              </w:rPr>
              <w:t xml:space="preserve"> and a</w:t>
            </w:r>
            <w:r w:rsidRPr="00F15980">
              <w:rPr>
                <w:rFonts w:ascii="Arial" w:hAnsi="Arial" w:cs="Arial"/>
                <w:sz w:val="20"/>
                <w:szCs w:val="20"/>
              </w:rPr>
              <w:t>s launch partner</w:t>
            </w:r>
            <w:r w:rsidR="00620CE1">
              <w:rPr>
                <w:rFonts w:ascii="Arial" w:hAnsi="Arial" w:cs="Arial"/>
                <w:sz w:val="20"/>
                <w:szCs w:val="20"/>
              </w:rPr>
              <w:t>,</w:t>
            </w:r>
            <w:r w:rsidR="00983369">
              <w:rPr>
                <w:rFonts w:ascii="Arial" w:hAnsi="Arial" w:cs="Arial"/>
                <w:sz w:val="20"/>
                <w:szCs w:val="20"/>
              </w:rPr>
              <w:t xml:space="preserve"> </w:t>
            </w:r>
            <w:r w:rsidR="004271A8">
              <w:rPr>
                <w:rFonts w:ascii="Arial" w:hAnsi="Arial" w:cs="Arial"/>
                <w:sz w:val="20"/>
                <w:szCs w:val="20"/>
              </w:rPr>
              <w:t>IHG is</w:t>
            </w:r>
            <w:r w:rsidR="00983369">
              <w:rPr>
                <w:rFonts w:ascii="Arial" w:hAnsi="Arial" w:cs="Arial"/>
                <w:sz w:val="20"/>
                <w:szCs w:val="20"/>
              </w:rPr>
              <w:t xml:space="preserve"> in prime</w:t>
            </w:r>
            <w:r w:rsidR="00BF6333">
              <w:rPr>
                <w:rFonts w:ascii="Arial" w:hAnsi="Arial" w:cs="Arial"/>
                <w:sz w:val="20"/>
                <w:szCs w:val="20"/>
              </w:rPr>
              <w:t xml:space="preserve"> position to take advantage of this </w:t>
            </w:r>
            <w:r w:rsidR="00620CE1">
              <w:rPr>
                <w:rFonts w:ascii="Arial" w:hAnsi="Arial" w:cs="Arial"/>
                <w:sz w:val="20"/>
                <w:szCs w:val="20"/>
              </w:rPr>
              <w:t>technology to deliver a superior guest experience</w:t>
            </w:r>
            <w:r>
              <w:rPr>
                <w:rFonts w:ascii="Arial" w:hAnsi="Arial" w:cs="Arial"/>
                <w:sz w:val="20"/>
                <w:szCs w:val="20"/>
              </w:rPr>
              <w:t>.</w:t>
            </w:r>
          </w:p>
          <w:p w:rsidR="00266499" w:rsidRDefault="001D1966" w:rsidP="00F15980">
            <w:pPr>
              <w:pStyle w:val="ListParagraph"/>
              <w:numPr>
                <w:ilvl w:val="0"/>
                <w:numId w:val="23"/>
              </w:numPr>
              <w:spacing w:before="60" w:after="60"/>
              <w:ind w:left="318" w:hanging="284"/>
              <w:jc w:val="both"/>
              <w:rPr>
                <w:rFonts w:ascii="Arial" w:hAnsi="Arial" w:cs="Arial"/>
                <w:sz w:val="20"/>
                <w:szCs w:val="20"/>
              </w:rPr>
            </w:pPr>
            <w:r>
              <w:rPr>
                <w:rFonts w:ascii="Arial" w:hAnsi="Arial" w:cs="Arial"/>
                <w:sz w:val="20"/>
                <w:szCs w:val="20"/>
              </w:rPr>
              <w:t xml:space="preserve">We </w:t>
            </w:r>
            <w:r w:rsidR="00B91D34">
              <w:rPr>
                <w:rFonts w:ascii="Arial" w:hAnsi="Arial" w:cs="Arial"/>
                <w:sz w:val="20"/>
                <w:szCs w:val="20"/>
              </w:rPr>
              <w:t>launched</w:t>
            </w:r>
            <w:r>
              <w:rPr>
                <w:rFonts w:ascii="Arial" w:hAnsi="Arial" w:cs="Arial"/>
                <w:sz w:val="20"/>
                <w:szCs w:val="20"/>
              </w:rPr>
              <w:t xml:space="preserve"> enhancements</w:t>
            </w:r>
            <w:r w:rsidR="00B91D34">
              <w:rPr>
                <w:rFonts w:ascii="Arial" w:hAnsi="Arial" w:cs="Arial"/>
                <w:sz w:val="20"/>
                <w:szCs w:val="20"/>
              </w:rPr>
              <w:t xml:space="preserve"> </w:t>
            </w:r>
            <w:r w:rsidR="00287071" w:rsidRPr="00287071">
              <w:rPr>
                <w:rFonts w:ascii="Arial" w:hAnsi="Arial" w:cs="Arial"/>
                <w:sz w:val="20"/>
                <w:szCs w:val="20"/>
              </w:rPr>
              <w:t xml:space="preserve">to </w:t>
            </w:r>
            <w:r w:rsidR="00287071">
              <w:rPr>
                <w:rFonts w:ascii="Arial" w:hAnsi="Arial" w:cs="Arial"/>
                <w:sz w:val="20"/>
                <w:szCs w:val="20"/>
              </w:rPr>
              <w:t xml:space="preserve">our </w:t>
            </w:r>
            <w:r w:rsidR="00287071" w:rsidRPr="00287071">
              <w:rPr>
                <w:rFonts w:ascii="Arial" w:hAnsi="Arial" w:cs="Arial"/>
                <w:sz w:val="20"/>
                <w:szCs w:val="20"/>
              </w:rPr>
              <w:t xml:space="preserve">award winning loyalty programme, IHG Rewards </w:t>
            </w:r>
            <w:r w:rsidR="00F65AFA" w:rsidRPr="00287071">
              <w:rPr>
                <w:rFonts w:ascii="Arial" w:hAnsi="Arial" w:cs="Arial"/>
                <w:sz w:val="20"/>
                <w:szCs w:val="20"/>
              </w:rPr>
              <w:t>Club</w:t>
            </w:r>
            <w:r w:rsidR="00F65AFA">
              <w:rPr>
                <w:rFonts w:ascii="Arial" w:hAnsi="Arial" w:cs="Arial"/>
                <w:sz w:val="20"/>
                <w:szCs w:val="20"/>
              </w:rPr>
              <w:t>, that</w:t>
            </w:r>
            <w:r w:rsidR="00287071" w:rsidRPr="00287071">
              <w:rPr>
                <w:rFonts w:ascii="Arial" w:hAnsi="Arial" w:cs="Arial"/>
                <w:sz w:val="20"/>
                <w:szCs w:val="20"/>
              </w:rPr>
              <w:t xml:space="preserve"> focus on building more personalised relationships with </w:t>
            </w:r>
            <w:r w:rsidR="00B91D34">
              <w:rPr>
                <w:rFonts w:ascii="Arial" w:hAnsi="Arial" w:cs="Arial"/>
                <w:sz w:val="20"/>
                <w:szCs w:val="20"/>
              </w:rPr>
              <w:t xml:space="preserve">our nearly 86 </w:t>
            </w:r>
            <w:r w:rsidR="00287071" w:rsidRPr="00287071">
              <w:rPr>
                <w:rFonts w:ascii="Arial" w:hAnsi="Arial" w:cs="Arial"/>
                <w:sz w:val="20"/>
                <w:szCs w:val="20"/>
              </w:rPr>
              <w:t>million members worldwide</w:t>
            </w:r>
            <w:r w:rsidR="00287071">
              <w:rPr>
                <w:rFonts w:ascii="Arial" w:hAnsi="Arial" w:cs="Arial"/>
                <w:sz w:val="20"/>
                <w:szCs w:val="20"/>
              </w:rPr>
              <w:t xml:space="preserve">. </w:t>
            </w:r>
            <w:r w:rsidR="00B07756">
              <w:rPr>
                <w:rFonts w:ascii="Arial" w:hAnsi="Arial" w:cs="Arial"/>
                <w:sz w:val="20"/>
                <w:szCs w:val="20"/>
              </w:rPr>
              <w:t>This will include a new top tier of membership that offers members 100% extra bonus points on qualifying stays, an industry first.</w:t>
            </w:r>
          </w:p>
          <w:p w:rsidR="00F15980" w:rsidRPr="00B07756" w:rsidRDefault="00F15980" w:rsidP="00BF6333">
            <w:pPr>
              <w:pStyle w:val="ListParagraph"/>
              <w:numPr>
                <w:ilvl w:val="0"/>
                <w:numId w:val="23"/>
              </w:numPr>
              <w:spacing w:before="60" w:after="60"/>
              <w:ind w:left="318" w:hanging="284"/>
              <w:jc w:val="both"/>
              <w:rPr>
                <w:rFonts w:ascii="Arial" w:hAnsi="Arial" w:cs="Arial"/>
                <w:sz w:val="20"/>
                <w:szCs w:val="20"/>
              </w:rPr>
            </w:pPr>
            <w:r>
              <w:rPr>
                <w:rFonts w:ascii="Arial" w:hAnsi="Arial" w:cs="Arial"/>
                <w:sz w:val="20"/>
                <w:szCs w:val="20"/>
              </w:rPr>
              <w:t xml:space="preserve">Our </w:t>
            </w:r>
            <w:r w:rsidR="00C26D08">
              <w:rPr>
                <w:rFonts w:ascii="Arial" w:hAnsi="Arial" w:cs="Arial"/>
                <w:sz w:val="20"/>
                <w:szCs w:val="20"/>
              </w:rPr>
              <w:t xml:space="preserve">industry-leading </w:t>
            </w:r>
            <w:r>
              <w:rPr>
                <w:rFonts w:ascii="Arial" w:hAnsi="Arial" w:cs="Arial"/>
                <w:sz w:val="20"/>
                <w:szCs w:val="20"/>
              </w:rPr>
              <w:t xml:space="preserve">digital </w:t>
            </w:r>
            <w:r w:rsidR="00C26D08">
              <w:rPr>
                <w:rFonts w:ascii="Arial" w:hAnsi="Arial" w:cs="Arial"/>
                <w:sz w:val="20"/>
                <w:szCs w:val="20"/>
              </w:rPr>
              <w:t>solutions continue</w:t>
            </w:r>
            <w:r>
              <w:rPr>
                <w:rFonts w:ascii="Arial" w:hAnsi="Arial" w:cs="Arial"/>
                <w:sz w:val="20"/>
                <w:szCs w:val="20"/>
              </w:rPr>
              <w:t xml:space="preserve"> to expand with mobile bookings exceeding $</w:t>
            </w:r>
            <w:r w:rsidR="00D41C6C">
              <w:rPr>
                <w:rFonts w:ascii="Arial" w:hAnsi="Arial" w:cs="Arial"/>
                <w:sz w:val="20"/>
                <w:szCs w:val="20"/>
              </w:rPr>
              <w:t xml:space="preserve">100m </w:t>
            </w:r>
            <w:r w:rsidR="00940598">
              <w:rPr>
                <w:rFonts w:ascii="Arial" w:hAnsi="Arial" w:cs="Arial"/>
                <w:sz w:val="20"/>
                <w:szCs w:val="20"/>
              </w:rPr>
              <w:t xml:space="preserve">in a month for the first time </w:t>
            </w:r>
            <w:r w:rsidR="00D41C6C">
              <w:rPr>
                <w:rFonts w:ascii="Arial" w:hAnsi="Arial" w:cs="Arial"/>
                <w:sz w:val="20"/>
                <w:szCs w:val="20"/>
              </w:rPr>
              <w:t>in March.</w:t>
            </w:r>
          </w:p>
        </w:tc>
      </w:tr>
    </w:tbl>
    <w:p w:rsidR="00B07756" w:rsidRPr="00B07756" w:rsidRDefault="00B07756">
      <w:pPr>
        <w:rPr>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7B4104" w:rsidRPr="009D430E" w:rsidTr="00B07756">
        <w:trPr>
          <w:trHeight w:val="334"/>
        </w:trPr>
        <w:tc>
          <w:tcPr>
            <w:tcW w:w="10490" w:type="dxa"/>
          </w:tcPr>
          <w:p w:rsidR="007B4104" w:rsidRPr="009D430E" w:rsidRDefault="007B4104" w:rsidP="009D430E">
            <w:pPr>
              <w:spacing w:before="60" w:after="60"/>
              <w:jc w:val="both"/>
              <w:rPr>
                <w:rFonts w:ascii="Arial" w:hAnsi="Arial" w:cs="Arial"/>
                <w:b/>
              </w:rPr>
            </w:pPr>
            <w:r w:rsidRPr="009D430E">
              <w:rPr>
                <w:rFonts w:ascii="Arial" w:hAnsi="Arial" w:cs="Arial"/>
                <w:b/>
              </w:rPr>
              <w:t>Financial position and capital allocation</w:t>
            </w:r>
          </w:p>
        </w:tc>
      </w:tr>
      <w:tr w:rsidR="007B4104" w:rsidRPr="009D430E" w:rsidTr="00B07756">
        <w:trPr>
          <w:trHeight w:val="985"/>
        </w:trPr>
        <w:tc>
          <w:tcPr>
            <w:tcW w:w="10490" w:type="dxa"/>
            <w:shd w:val="clear" w:color="auto" w:fill="auto"/>
          </w:tcPr>
          <w:p w:rsidR="00F04BD1" w:rsidRDefault="007B4104" w:rsidP="009D430E">
            <w:pPr>
              <w:spacing w:before="60" w:after="60"/>
              <w:jc w:val="both"/>
              <w:rPr>
                <w:rFonts w:ascii="Arial" w:hAnsi="Arial" w:cs="Arial"/>
              </w:rPr>
            </w:pPr>
            <w:r w:rsidRPr="009D430E">
              <w:rPr>
                <w:rFonts w:ascii="Arial" w:hAnsi="Arial" w:cs="Arial"/>
              </w:rPr>
              <w:t>The financial position of the group remains robust, with an on-going commitment to an efficient balance sheet and an investment grade credit rating.</w:t>
            </w:r>
            <w:r w:rsidR="00266499">
              <w:rPr>
                <w:rFonts w:ascii="Arial" w:hAnsi="Arial" w:cs="Arial"/>
              </w:rPr>
              <w:t xml:space="preserve"> </w:t>
            </w:r>
          </w:p>
          <w:p w:rsidR="00B55504" w:rsidRPr="009D430E" w:rsidRDefault="009A781A" w:rsidP="009D430E">
            <w:pPr>
              <w:spacing w:before="60" w:after="60"/>
              <w:jc w:val="both"/>
              <w:rPr>
                <w:rFonts w:ascii="Arial" w:hAnsi="Arial" w:cs="Arial"/>
              </w:rPr>
            </w:pPr>
            <w:r>
              <w:rPr>
                <w:rFonts w:ascii="Arial" w:hAnsi="Arial" w:cs="Arial"/>
              </w:rPr>
              <w:t xml:space="preserve">We </w:t>
            </w:r>
            <w:r w:rsidR="00266499">
              <w:rPr>
                <w:rFonts w:ascii="Arial" w:hAnsi="Arial" w:cs="Arial"/>
              </w:rPr>
              <w:t xml:space="preserve">recently </w:t>
            </w:r>
            <w:r w:rsidR="00B55504">
              <w:rPr>
                <w:rFonts w:ascii="Arial" w:hAnsi="Arial" w:cs="Arial"/>
              </w:rPr>
              <w:t>refinanced our syndicated bank facility</w:t>
            </w:r>
            <w:r w:rsidR="00B91D34">
              <w:rPr>
                <w:rFonts w:ascii="Arial" w:hAnsi="Arial" w:cs="Arial"/>
              </w:rPr>
              <w:t xml:space="preserve"> for seven years</w:t>
            </w:r>
            <w:r w:rsidR="00B55504">
              <w:rPr>
                <w:rFonts w:ascii="Arial" w:hAnsi="Arial" w:cs="Arial"/>
              </w:rPr>
              <w:t xml:space="preserve">, increasing the capacity </w:t>
            </w:r>
            <w:r w:rsidR="00CA28D9">
              <w:rPr>
                <w:rFonts w:ascii="Arial" w:hAnsi="Arial" w:cs="Arial"/>
              </w:rPr>
              <w:t xml:space="preserve">by </w:t>
            </w:r>
            <w:r w:rsidR="00B55504">
              <w:rPr>
                <w:rFonts w:ascii="Arial" w:hAnsi="Arial" w:cs="Arial"/>
              </w:rPr>
              <w:t>$205m to $1.275bn</w:t>
            </w:r>
            <w:r w:rsidR="00266499">
              <w:rPr>
                <w:rFonts w:ascii="Arial" w:hAnsi="Arial" w:cs="Arial"/>
              </w:rPr>
              <w:t xml:space="preserve"> </w:t>
            </w:r>
            <w:r w:rsidR="00B91D34">
              <w:rPr>
                <w:rFonts w:ascii="Arial" w:hAnsi="Arial" w:cs="Arial"/>
              </w:rPr>
              <w:t xml:space="preserve">on </w:t>
            </w:r>
            <w:r w:rsidR="00CA28D9">
              <w:rPr>
                <w:rFonts w:ascii="Arial" w:hAnsi="Arial" w:cs="Arial"/>
              </w:rPr>
              <w:t>favourable</w:t>
            </w:r>
            <w:r w:rsidR="00266499">
              <w:rPr>
                <w:rFonts w:ascii="Arial" w:hAnsi="Arial" w:cs="Arial"/>
              </w:rPr>
              <w:t xml:space="preserve"> terms.</w:t>
            </w:r>
          </w:p>
          <w:p w:rsidR="00B55504" w:rsidRDefault="007B4104" w:rsidP="009D430E">
            <w:pPr>
              <w:spacing w:before="60" w:after="60"/>
              <w:jc w:val="both"/>
              <w:rPr>
                <w:rFonts w:ascii="Arial" w:hAnsi="Arial" w:cs="Arial"/>
              </w:rPr>
            </w:pPr>
            <w:r w:rsidRPr="009D430E">
              <w:rPr>
                <w:rFonts w:ascii="Arial" w:hAnsi="Arial" w:cs="Arial"/>
              </w:rPr>
              <w:t>The sale of InterContinental Paris – Le Grand for €330</w:t>
            </w:r>
            <w:r w:rsidR="00B55504">
              <w:rPr>
                <w:rFonts w:ascii="Arial" w:hAnsi="Arial" w:cs="Arial"/>
              </w:rPr>
              <w:t>m</w:t>
            </w:r>
            <w:r w:rsidRPr="009D430E">
              <w:rPr>
                <w:rFonts w:ascii="Arial" w:hAnsi="Arial" w:cs="Arial"/>
              </w:rPr>
              <w:t xml:space="preserve"> is expected to complete in the first half of 2015 and our strategic review of InterContinental Hong Kong is on-going.</w:t>
            </w:r>
          </w:p>
          <w:p w:rsidR="00266499" w:rsidRPr="00B07756" w:rsidRDefault="00F04BD1" w:rsidP="00A351E6">
            <w:pPr>
              <w:spacing w:before="60" w:after="60"/>
              <w:jc w:val="both"/>
              <w:rPr>
                <w:rFonts w:ascii="Arial" w:hAnsi="Arial" w:cs="Arial"/>
              </w:rPr>
            </w:pPr>
            <w:r>
              <w:rPr>
                <w:rFonts w:ascii="Arial" w:hAnsi="Arial" w:cs="Arial"/>
              </w:rPr>
              <w:t xml:space="preserve">Our gross capital expenditure guidance for the year </w:t>
            </w:r>
            <w:r w:rsidR="005E45B4">
              <w:rPr>
                <w:rFonts w:ascii="Arial" w:hAnsi="Arial" w:cs="Arial"/>
              </w:rPr>
              <w:t xml:space="preserve">is </w:t>
            </w:r>
            <w:r>
              <w:rPr>
                <w:rFonts w:ascii="Arial" w:hAnsi="Arial" w:cs="Arial"/>
              </w:rPr>
              <w:t xml:space="preserve">unchanged at up to $350m. </w:t>
            </w:r>
            <w:r w:rsidR="00B91D34">
              <w:rPr>
                <w:rFonts w:ascii="Arial" w:hAnsi="Arial" w:cs="Arial"/>
              </w:rPr>
              <w:t>F</w:t>
            </w:r>
            <w:r>
              <w:rPr>
                <w:rFonts w:ascii="Arial" w:hAnsi="Arial" w:cs="Arial"/>
              </w:rPr>
              <w:t xml:space="preserve">ollowing the announcement of our continuing relationship with Amadeus and investment in evolving our own bespoke </w:t>
            </w:r>
            <w:r w:rsidRPr="00A351E6">
              <w:rPr>
                <w:rFonts w:ascii="Arial" w:hAnsi="Arial" w:cs="Arial"/>
                <w:color w:val="000000" w:themeColor="text1"/>
              </w:rPr>
              <w:t>technology, system funded capital investments</w:t>
            </w:r>
            <w:r w:rsidR="008358A6" w:rsidRPr="00A351E6">
              <w:rPr>
                <w:rFonts w:ascii="Arial" w:hAnsi="Arial" w:cs="Arial"/>
                <w:color w:val="000000" w:themeColor="text1"/>
              </w:rPr>
              <w:t xml:space="preserve"> </w:t>
            </w:r>
            <w:r w:rsidR="00A351E6" w:rsidRPr="00A351E6">
              <w:rPr>
                <w:rFonts w:ascii="Arial" w:hAnsi="Arial" w:cs="Arial"/>
                <w:color w:val="000000" w:themeColor="text1"/>
              </w:rPr>
              <w:t>are expected to</w:t>
            </w:r>
            <w:r w:rsidR="008358A6" w:rsidRPr="00A351E6">
              <w:rPr>
                <w:rFonts w:ascii="Arial" w:hAnsi="Arial" w:cs="Arial"/>
                <w:color w:val="000000" w:themeColor="text1"/>
              </w:rPr>
              <w:t xml:space="preserve"> increase from </w:t>
            </w:r>
            <w:r w:rsidR="00A351E6" w:rsidRPr="00A351E6">
              <w:rPr>
                <w:rFonts w:ascii="Arial" w:hAnsi="Arial" w:cs="Arial"/>
                <w:color w:val="000000" w:themeColor="text1"/>
              </w:rPr>
              <w:t>$57m</w:t>
            </w:r>
            <w:r w:rsidR="008358A6" w:rsidRPr="00A351E6">
              <w:rPr>
                <w:rFonts w:ascii="Arial" w:hAnsi="Arial" w:cs="Arial"/>
                <w:color w:val="000000" w:themeColor="text1"/>
              </w:rPr>
              <w:t xml:space="preserve"> in 2014 to </w:t>
            </w:r>
            <w:r w:rsidR="009F6D8F" w:rsidRPr="00A351E6">
              <w:rPr>
                <w:rFonts w:ascii="Arial" w:hAnsi="Arial" w:cs="Arial"/>
                <w:color w:val="000000" w:themeColor="text1"/>
              </w:rPr>
              <w:t xml:space="preserve">approximately </w:t>
            </w:r>
            <w:r w:rsidR="008358A6" w:rsidRPr="00A351E6">
              <w:rPr>
                <w:rFonts w:ascii="Arial" w:hAnsi="Arial" w:cs="Arial"/>
                <w:color w:val="000000" w:themeColor="text1"/>
              </w:rPr>
              <w:t>$100m in 2015</w:t>
            </w:r>
            <w:r w:rsidRPr="00A351E6">
              <w:rPr>
                <w:rFonts w:ascii="Arial" w:hAnsi="Arial" w:cs="Arial"/>
                <w:color w:val="000000" w:themeColor="text1"/>
              </w:rPr>
              <w:t>.</w:t>
            </w:r>
          </w:p>
        </w:tc>
      </w:tr>
    </w:tbl>
    <w:p w:rsidR="00B07756" w:rsidRPr="00B07756" w:rsidRDefault="00B07756">
      <w:pPr>
        <w:rPr>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7B4104" w:rsidRPr="009D430E" w:rsidTr="00B07756">
        <w:trPr>
          <w:trHeight w:val="179"/>
        </w:trPr>
        <w:tc>
          <w:tcPr>
            <w:tcW w:w="10490" w:type="dxa"/>
          </w:tcPr>
          <w:p w:rsidR="007B4104" w:rsidRPr="009D430E" w:rsidRDefault="007B4104" w:rsidP="009D430E">
            <w:pPr>
              <w:spacing w:before="60" w:after="60"/>
              <w:jc w:val="both"/>
              <w:rPr>
                <w:rFonts w:ascii="Arial" w:hAnsi="Arial" w:cs="Arial"/>
                <w:b/>
              </w:rPr>
            </w:pPr>
            <w:r w:rsidRPr="009D430E">
              <w:rPr>
                <w:rFonts w:ascii="Arial" w:hAnsi="Arial" w:cs="Arial"/>
                <w:b/>
              </w:rPr>
              <w:t>Foreign exchange</w:t>
            </w:r>
          </w:p>
        </w:tc>
      </w:tr>
      <w:tr w:rsidR="007B4104" w:rsidRPr="009D430E" w:rsidTr="00B07756">
        <w:trPr>
          <w:trHeight w:val="179"/>
        </w:trPr>
        <w:tc>
          <w:tcPr>
            <w:tcW w:w="10490" w:type="dxa"/>
          </w:tcPr>
          <w:p w:rsidR="007B4104" w:rsidRDefault="007B4104" w:rsidP="00AD44AD">
            <w:pPr>
              <w:spacing w:before="60" w:after="60"/>
              <w:jc w:val="both"/>
              <w:rPr>
                <w:rFonts w:ascii="Arial" w:hAnsi="Arial" w:cs="Arial"/>
              </w:rPr>
            </w:pPr>
            <w:r w:rsidRPr="009D430E">
              <w:rPr>
                <w:rFonts w:ascii="Arial" w:hAnsi="Arial" w:cs="Arial"/>
              </w:rPr>
              <w:t>The US Dollar continued to st</w:t>
            </w:r>
            <w:r w:rsidR="00825511">
              <w:rPr>
                <w:rFonts w:ascii="Arial" w:hAnsi="Arial" w:cs="Arial"/>
              </w:rPr>
              <w:t xml:space="preserve">rengthen through Q1 which </w:t>
            </w:r>
            <w:r w:rsidR="004259F8">
              <w:rPr>
                <w:rFonts w:ascii="Arial" w:hAnsi="Arial" w:cs="Arial"/>
              </w:rPr>
              <w:t>reduced</w:t>
            </w:r>
            <w:r w:rsidR="00825511">
              <w:rPr>
                <w:rFonts w:ascii="Arial" w:hAnsi="Arial" w:cs="Arial"/>
              </w:rPr>
              <w:t xml:space="preserve"> group </w:t>
            </w:r>
            <w:r w:rsidRPr="009D430E">
              <w:rPr>
                <w:rFonts w:ascii="Arial" w:hAnsi="Arial" w:cs="Arial"/>
              </w:rPr>
              <w:t>RevPAR</w:t>
            </w:r>
            <w:r w:rsidR="00825511">
              <w:rPr>
                <w:rFonts w:ascii="Arial" w:hAnsi="Arial" w:cs="Arial"/>
              </w:rPr>
              <w:t xml:space="preserve"> growth to 1.5%</w:t>
            </w:r>
            <w:r w:rsidRPr="009D430E">
              <w:rPr>
                <w:rFonts w:ascii="Arial" w:hAnsi="Arial" w:cs="Arial"/>
              </w:rPr>
              <w:t xml:space="preserve"> when reported at actual exchange rates.</w:t>
            </w:r>
            <w:r w:rsidR="00BD5AC3">
              <w:rPr>
                <w:rFonts w:ascii="Arial" w:hAnsi="Arial" w:cs="Arial"/>
              </w:rPr>
              <w:t xml:space="preserve"> </w:t>
            </w:r>
            <w:r w:rsidR="001658D7">
              <w:rPr>
                <w:rFonts w:ascii="Arial" w:hAnsi="Arial" w:cs="Arial"/>
              </w:rPr>
              <w:t>A</w:t>
            </w:r>
            <w:r w:rsidR="00825511">
              <w:rPr>
                <w:rFonts w:ascii="Arial" w:hAnsi="Arial" w:cs="Arial"/>
              </w:rPr>
              <w:t xml:space="preserve"> breakdown </w:t>
            </w:r>
            <w:r w:rsidR="001658D7">
              <w:rPr>
                <w:rFonts w:ascii="Arial" w:hAnsi="Arial" w:cs="Arial"/>
              </w:rPr>
              <w:t>of constant currency vs</w:t>
            </w:r>
            <w:r w:rsidR="00620CE1">
              <w:rPr>
                <w:rFonts w:ascii="Arial" w:hAnsi="Arial" w:cs="Arial"/>
              </w:rPr>
              <w:t>.</w:t>
            </w:r>
            <w:r w:rsidR="001658D7">
              <w:rPr>
                <w:rFonts w:ascii="Arial" w:hAnsi="Arial" w:cs="Arial"/>
              </w:rPr>
              <w:t xml:space="preserve"> actual currency RevPAR </w:t>
            </w:r>
            <w:r w:rsidR="00825511">
              <w:rPr>
                <w:rFonts w:ascii="Arial" w:hAnsi="Arial" w:cs="Arial"/>
              </w:rPr>
              <w:t>by region</w:t>
            </w:r>
            <w:r w:rsidR="00620CE1">
              <w:rPr>
                <w:rFonts w:ascii="Arial" w:hAnsi="Arial" w:cs="Arial"/>
              </w:rPr>
              <w:t xml:space="preserve"> is set out in</w:t>
            </w:r>
            <w:r w:rsidR="001658D7">
              <w:rPr>
                <w:rFonts w:ascii="Arial" w:hAnsi="Arial" w:cs="Arial"/>
              </w:rPr>
              <w:t xml:space="preserve"> Appendix 2</w:t>
            </w:r>
            <w:r w:rsidR="00825511">
              <w:rPr>
                <w:rFonts w:ascii="Arial" w:hAnsi="Arial" w:cs="Arial"/>
              </w:rPr>
              <w:t>.</w:t>
            </w:r>
          </w:p>
          <w:p w:rsidR="00BD5AC3" w:rsidRPr="009D430E" w:rsidRDefault="00A351E6" w:rsidP="00A351E6">
            <w:pPr>
              <w:spacing w:before="60" w:after="60"/>
              <w:jc w:val="both"/>
              <w:rPr>
                <w:rFonts w:ascii="Arial" w:hAnsi="Arial" w:cs="Arial"/>
              </w:rPr>
            </w:pPr>
            <w:r>
              <w:rPr>
                <w:rFonts w:ascii="Arial" w:hAnsi="Arial" w:cs="Arial"/>
              </w:rPr>
              <w:t xml:space="preserve">Based on current </w:t>
            </w:r>
            <w:r w:rsidRPr="00A351E6">
              <w:rPr>
                <w:rFonts w:ascii="Arial" w:hAnsi="Arial" w:cs="Arial"/>
                <w:color w:val="000000" w:themeColor="text1"/>
              </w:rPr>
              <w:t>exchange rate movements, f</w:t>
            </w:r>
            <w:r w:rsidR="00BD5AC3" w:rsidRPr="00A351E6">
              <w:rPr>
                <w:rFonts w:ascii="Arial" w:hAnsi="Arial" w:cs="Arial"/>
                <w:color w:val="000000" w:themeColor="text1"/>
              </w:rPr>
              <w:t xml:space="preserve">or every 1%pt </w:t>
            </w:r>
            <w:r w:rsidRPr="00A351E6">
              <w:rPr>
                <w:rFonts w:ascii="Arial" w:hAnsi="Arial" w:cs="Arial"/>
                <w:color w:val="000000" w:themeColor="text1"/>
              </w:rPr>
              <w:t>difference</w:t>
            </w:r>
            <w:r w:rsidR="00BD5AC3" w:rsidRPr="00A351E6">
              <w:rPr>
                <w:rFonts w:ascii="Arial" w:hAnsi="Arial" w:cs="Arial"/>
                <w:color w:val="000000" w:themeColor="text1"/>
              </w:rPr>
              <w:t xml:space="preserve"> in full year group RevPAR growth </w:t>
            </w:r>
            <w:r w:rsidRPr="00A351E6">
              <w:rPr>
                <w:rFonts w:ascii="Arial" w:hAnsi="Arial" w:cs="Arial"/>
                <w:color w:val="000000" w:themeColor="text1"/>
              </w:rPr>
              <w:t>between constant and actual exchange rates</w:t>
            </w:r>
            <w:r w:rsidR="00BD5AC3" w:rsidRPr="00A351E6">
              <w:rPr>
                <w:rFonts w:ascii="Arial" w:hAnsi="Arial" w:cs="Arial"/>
                <w:color w:val="000000" w:themeColor="text1"/>
              </w:rPr>
              <w:t xml:space="preserve">, we expect a $4m impact on reported </w:t>
            </w:r>
            <w:r w:rsidR="00706DF7">
              <w:rPr>
                <w:rFonts w:ascii="Arial" w:hAnsi="Arial" w:cs="Arial"/>
                <w:color w:val="000000" w:themeColor="text1"/>
              </w:rPr>
              <w:t xml:space="preserve">fee business </w:t>
            </w:r>
            <w:r w:rsidR="00BD5AC3" w:rsidRPr="00A351E6">
              <w:rPr>
                <w:rFonts w:ascii="Arial" w:hAnsi="Arial" w:cs="Arial"/>
                <w:color w:val="000000" w:themeColor="text1"/>
              </w:rPr>
              <w:t>operating profit.</w:t>
            </w:r>
          </w:p>
        </w:tc>
      </w:tr>
    </w:tbl>
    <w:p w:rsidR="00EF3E61" w:rsidRDefault="00EF3E61" w:rsidP="009D430E">
      <w:pPr>
        <w:spacing w:before="60" w:after="60"/>
        <w:rPr>
          <w:rFonts w:ascii="Arial" w:hAnsi="Arial" w:cs="Arial"/>
        </w:rPr>
      </w:pPr>
    </w:p>
    <w:p w:rsidR="00EF3E61" w:rsidRDefault="00EF3E61" w:rsidP="009D430E">
      <w:pPr>
        <w:spacing w:before="60" w:after="60"/>
        <w:rPr>
          <w:rFonts w:ascii="Arial" w:hAnsi="Arial" w:cs="Arial"/>
        </w:rPr>
      </w:pPr>
    </w:p>
    <w:p w:rsidR="00EF3E61" w:rsidRDefault="00EF3E61" w:rsidP="009D430E">
      <w:pPr>
        <w:spacing w:before="60" w:after="60"/>
        <w:rPr>
          <w:rFonts w:ascii="Arial" w:hAnsi="Arial" w:cs="Arial"/>
        </w:rPr>
      </w:pPr>
    </w:p>
    <w:p w:rsidR="00266499" w:rsidRDefault="00266499" w:rsidP="009D430E">
      <w:pPr>
        <w:spacing w:before="60" w:after="60"/>
        <w:rPr>
          <w:rFonts w:ascii="Arial" w:hAnsi="Arial" w:cs="Arial"/>
        </w:rPr>
      </w:pPr>
    </w:p>
    <w:p w:rsidR="000B3478" w:rsidRDefault="000B3478" w:rsidP="009D430E">
      <w:pPr>
        <w:spacing w:before="60" w:after="60"/>
        <w:rPr>
          <w:rFonts w:ascii="Arial" w:hAnsi="Arial" w:cs="Arial"/>
        </w:rPr>
      </w:pPr>
    </w:p>
    <w:p w:rsidR="000B3478" w:rsidRDefault="000B3478" w:rsidP="009D430E">
      <w:pPr>
        <w:spacing w:before="60" w:after="60"/>
        <w:rPr>
          <w:rFonts w:ascii="Arial" w:hAnsi="Arial" w:cs="Arial"/>
        </w:rPr>
      </w:pPr>
    </w:p>
    <w:p w:rsidR="003F4A19" w:rsidRDefault="003F4A19" w:rsidP="009D430E">
      <w:pPr>
        <w:spacing w:before="60" w:after="60"/>
        <w:rPr>
          <w:rFonts w:ascii="Arial" w:hAnsi="Arial" w:cs="Arial"/>
        </w:rPr>
      </w:pPr>
    </w:p>
    <w:p w:rsidR="00C26D08" w:rsidRDefault="00C26D08" w:rsidP="009D430E">
      <w:pPr>
        <w:spacing w:before="60" w:after="60"/>
        <w:rPr>
          <w:rFonts w:ascii="Arial" w:hAnsi="Arial" w:cs="Arial"/>
        </w:rPr>
      </w:pPr>
    </w:p>
    <w:p w:rsidR="003F4A19" w:rsidRDefault="003F4A19" w:rsidP="009D430E">
      <w:pPr>
        <w:spacing w:before="60" w:after="60"/>
        <w:rPr>
          <w:rFonts w:ascii="Arial" w:hAnsi="Arial" w:cs="Arial"/>
        </w:rPr>
      </w:pPr>
    </w:p>
    <w:tbl>
      <w:tblPr>
        <w:tblW w:w="11201" w:type="dxa"/>
        <w:tblInd w:w="108"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1201"/>
      </w:tblGrid>
      <w:tr w:rsidR="004E33A8" w:rsidRPr="009D430E" w:rsidTr="009813AC">
        <w:tc>
          <w:tcPr>
            <w:tcW w:w="11201" w:type="dxa"/>
            <w:tcBorders>
              <w:top w:val="nil"/>
              <w:left w:val="nil"/>
              <w:bottom w:val="nil"/>
              <w:right w:val="nil"/>
            </w:tcBorders>
          </w:tcPr>
          <w:tbl>
            <w:tblPr>
              <w:tblW w:w="10490" w:type="dxa"/>
              <w:tblBorders>
                <w:top w:val="single" w:sz="12" w:space="0" w:color="auto"/>
                <w:left w:val="single" w:sz="12" w:space="0" w:color="auto"/>
                <w:bottom w:val="single" w:sz="12" w:space="0" w:color="auto"/>
                <w:right w:val="single" w:sz="12" w:space="0" w:color="auto"/>
              </w:tblBorders>
              <w:tblLayout w:type="fixed"/>
              <w:tblCellMar>
                <w:right w:w="170" w:type="dxa"/>
              </w:tblCellMar>
              <w:tblLook w:val="00A0" w:firstRow="1" w:lastRow="0" w:firstColumn="1" w:lastColumn="0" w:noHBand="0" w:noVBand="0"/>
            </w:tblPr>
            <w:tblGrid>
              <w:gridCol w:w="1139"/>
              <w:gridCol w:w="1269"/>
              <w:gridCol w:w="1275"/>
              <w:gridCol w:w="1276"/>
              <w:gridCol w:w="5531"/>
            </w:tblGrid>
            <w:tr w:rsidR="00BC5515" w:rsidRPr="001658D7" w:rsidTr="009D430E">
              <w:tc>
                <w:tcPr>
                  <w:tcW w:w="10490" w:type="dxa"/>
                  <w:gridSpan w:val="5"/>
                  <w:tcBorders>
                    <w:top w:val="nil"/>
                    <w:left w:val="nil"/>
                    <w:bottom w:val="nil"/>
                    <w:right w:val="nil"/>
                  </w:tcBorders>
                </w:tcPr>
                <w:p w:rsidR="00BC5515" w:rsidRPr="001658D7" w:rsidRDefault="00BC5515" w:rsidP="001658D7">
                  <w:pPr>
                    <w:spacing w:before="60" w:after="60"/>
                    <w:rPr>
                      <w:rFonts w:ascii="Arial" w:hAnsi="Arial" w:cs="Arial"/>
                      <w:b/>
                      <w:sz w:val="18"/>
                      <w:szCs w:val="18"/>
                    </w:rPr>
                  </w:pPr>
                  <w:r w:rsidRPr="001658D7">
                    <w:rPr>
                      <w:rFonts w:ascii="Arial" w:hAnsi="Arial" w:cs="Arial"/>
                      <w:b/>
                      <w:sz w:val="18"/>
                      <w:szCs w:val="18"/>
                    </w:rPr>
                    <w:t>Appendix 1: First quarter RevPAR movement summary</w:t>
                  </w:r>
                </w:p>
              </w:tc>
            </w:tr>
            <w:tr w:rsidR="00BC5515" w:rsidRPr="001658D7" w:rsidTr="009D430E">
              <w:trPr>
                <w:gridAfter w:val="1"/>
                <w:wAfter w:w="5531" w:type="dxa"/>
              </w:trPr>
              <w:tc>
                <w:tcPr>
                  <w:tcW w:w="1139" w:type="dxa"/>
                  <w:vMerge w:val="restart"/>
                  <w:tcBorders>
                    <w:top w:val="single" w:sz="4" w:space="0" w:color="auto"/>
                    <w:left w:val="single" w:sz="4" w:space="0" w:color="auto"/>
                    <w:bottom w:val="nil"/>
                    <w:right w:val="single" w:sz="4" w:space="0" w:color="auto"/>
                  </w:tcBorders>
                  <w:vAlign w:val="center"/>
                </w:tcPr>
                <w:p w:rsidR="00BC5515" w:rsidRPr="001658D7" w:rsidRDefault="00BC5515" w:rsidP="001658D7">
                  <w:pPr>
                    <w:spacing w:before="60" w:after="60"/>
                    <w:rPr>
                      <w:rFonts w:ascii="Arial" w:hAnsi="Arial" w:cs="Arial"/>
                      <w:b/>
                      <w:sz w:val="18"/>
                      <w:szCs w:val="18"/>
                    </w:rPr>
                  </w:pPr>
                </w:p>
                <w:p w:rsidR="00BC5515" w:rsidRPr="001658D7" w:rsidRDefault="00BC5515" w:rsidP="001658D7">
                  <w:pPr>
                    <w:spacing w:before="60" w:after="60"/>
                    <w:rPr>
                      <w:rFonts w:ascii="Arial" w:hAnsi="Arial" w:cs="Arial"/>
                      <w:b/>
                      <w:sz w:val="18"/>
                      <w:szCs w:val="18"/>
                    </w:rPr>
                  </w:pPr>
                </w:p>
              </w:tc>
              <w:tc>
                <w:tcPr>
                  <w:tcW w:w="3820" w:type="dxa"/>
                  <w:gridSpan w:val="3"/>
                  <w:tcBorders>
                    <w:top w:val="single" w:sz="4" w:space="0" w:color="auto"/>
                    <w:left w:val="single" w:sz="4" w:space="0" w:color="auto"/>
                    <w:bottom w:val="nil"/>
                    <w:right w:val="single" w:sz="4" w:space="0" w:color="auto"/>
                  </w:tcBorders>
                  <w:vAlign w:val="center"/>
                </w:tcPr>
                <w:p w:rsidR="00BC5515" w:rsidRPr="001658D7" w:rsidRDefault="00BC5515" w:rsidP="001658D7">
                  <w:pPr>
                    <w:spacing w:before="60" w:after="60"/>
                    <w:jc w:val="center"/>
                    <w:rPr>
                      <w:rFonts w:ascii="Arial" w:hAnsi="Arial" w:cs="Arial"/>
                      <w:b/>
                      <w:sz w:val="18"/>
                      <w:szCs w:val="18"/>
                    </w:rPr>
                  </w:pPr>
                  <w:r w:rsidRPr="001658D7">
                    <w:rPr>
                      <w:rFonts w:ascii="Arial" w:hAnsi="Arial" w:cs="Arial"/>
                      <w:b/>
                      <w:sz w:val="18"/>
                      <w:szCs w:val="18"/>
                    </w:rPr>
                    <w:t>Q1 201</w:t>
                  </w:r>
                  <w:r w:rsidR="00E2427E">
                    <w:rPr>
                      <w:rFonts w:ascii="Arial" w:hAnsi="Arial" w:cs="Arial"/>
                      <w:b/>
                      <w:sz w:val="18"/>
                      <w:szCs w:val="18"/>
                    </w:rPr>
                    <w:t>5</w:t>
                  </w:r>
                </w:p>
              </w:tc>
            </w:tr>
            <w:tr w:rsidR="00BC5515" w:rsidRPr="001658D7" w:rsidTr="009D430E">
              <w:trPr>
                <w:gridAfter w:val="1"/>
                <w:wAfter w:w="5531" w:type="dxa"/>
              </w:trPr>
              <w:tc>
                <w:tcPr>
                  <w:tcW w:w="1139" w:type="dxa"/>
                  <w:vMerge/>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p>
              </w:tc>
              <w:tc>
                <w:tcPr>
                  <w:tcW w:w="1269" w:type="dxa"/>
                  <w:tcBorders>
                    <w:top w:val="nil"/>
                    <w:left w:val="single" w:sz="4" w:space="0" w:color="auto"/>
                    <w:bottom w:val="single" w:sz="4" w:space="0" w:color="auto"/>
                    <w:right w:val="nil"/>
                  </w:tcBorders>
                  <w:vAlign w:val="center"/>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RevPAR</w:t>
                  </w:r>
                </w:p>
              </w:tc>
              <w:tc>
                <w:tcPr>
                  <w:tcW w:w="1275" w:type="dxa"/>
                  <w:tcBorders>
                    <w:top w:val="nil"/>
                    <w:left w:val="nil"/>
                    <w:bottom w:val="single" w:sz="4" w:space="0" w:color="auto"/>
                    <w:right w:val="nil"/>
                  </w:tcBorders>
                  <w:vAlign w:val="center"/>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Rate</w:t>
                  </w:r>
                </w:p>
              </w:tc>
              <w:tc>
                <w:tcPr>
                  <w:tcW w:w="1276" w:type="dxa"/>
                  <w:tcBorders>
                    <w:top w:val="nil"/>
                    <w:left w:val="nil"/>
                    <w:bottom w:val="single" w:sz="4" w:space="0" w:color="auto"/>
                    <w:right w:val="single" w:sz="4" w:space="0" w:color="auto"/>
                  </w:tcBorders>
                  <w:vAlign w:val="center"/>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Occ.</w:t>
                  </w:r>
                </w:p>
              </w:tc>
            </w:tr>
            <w:tr w:rsidR="00BC5515" w:rsidRPr="001658D7" w:rsidTr="00CD1B73">
              <w:trPr>
                <w:gridAfter w:val="1"/>
                <w:wAfter w:w="5531" w:type="dxa"/>
                <w:trHeight w:val="227"/>
              </w:trPr>
              <w:tc>
                <w:tcPr>
                  <w:tcW w:w="1139" w:type="dxa"/>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b/>
                      <w:sz w:val="18"/>
                      <w:szCs w:val="18"/>
                    </w:rPr>
                  </w:pPr>
                  <w:r w:rsidRPr="001658D7">
                    <w:rPr>
                      <w:rFonts w:ascii="Arial" w:hAnsi="Arial" w:cs="Arial"/>
                      <w:b/>
                      <w:sz w:val="18"/>
                      <w:szCs w:val="18"/>
                    </w:rPr>
                    <w:t>Group</w:t>
                  </w:r>
                </w:p>
              </w:tc>
              <w:tc>
                <w:tcPr>
                  <w:tcW w:w="1269" w:type="dxa"/>
                  <w:tcBorders>
                    <w:top w:val="single" w:sz="4" w:space="0" w:color="auto"/>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b/>
                      <w:sz w:val="18"/>
                      <w:szCs w:val="18"/>
                    </w:rPr>
                    <w:t>5.9%</w:t>
                  </w:r>
                </w:p>
              </w:tc>
              <w:tc>
                <w:tcPr>
                  <w:tcW w:w="1275" w:type="dxa"/>
                  <w:tcBorders>
                    <w:top w:val="single" w:sz="4" w:space="0" w:color="auto"/>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b/>
                      <w:sz w:val="18"/>
                      <w:szCs w:val="18"/>
                    </w:rPr>
                    <w:t>3.4%</w:t>
                  </w:r>
                </w:p>
              </w:tc>
              <w:tc>
                <w:tcPr>
                  <w:tcW w:w="1276" w:type="dxa"/>
                  <w:tcBorders>
                    <w:top w:val="single" w:sz="4" w:space="0" w:color="auto"/>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b/>
                      <w:sz w:val="18"/>
                      <w:szCs w:val="18"/>
                    </w:rPr>
                    <w:t>1.5%pts</w:t>
                  </w:r>
                </w:p>
              </w:tc>
            </w:tr>
            <w:tr w:rsidR="00BC5515" w:rsidRPr="001658D7" w:rsidTr="00CD1B73">
              <w:trPr>
                <w:gridAfter w:val="1"/>
                <w:wAfter w:w="5531" w:type="dxa"/>
                <w:trHeight w:val="227"/>
              </w:trPr>
              <w:tc>
                <w:tcPr>
                  <w:tcW w:w="1139" w:type="dxa"/>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Americas</w:t>
                  </w:r>
                </w:p>
              </w:tc>
              <w:tc>
                <w:tcPr>
                  <w:tcW w:w="1269" w:type="dxa"/>
                  <w:tcBorders>
                    <w:top w:val="nil"/>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6.2%</w:t>
                  </w:r>
                </w:p>
              </w:tc>
              <w:tc>
                <w:tcPr>
                  <w:tcW w:w="1275"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4.3%</w:t>
                  </w:r>
                </w:p>
              </w:tc>
              <w:tc>
                <w:tcPr>
                  <w:tcW w:w="1276" w:type="dxa"/>
                  <w:tcBorders>
                    <w:top w:val="nil"/>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1.1%pts</w:t>
                  </w:r>
                </w:p>
              </w:tc>
            </w:tr>
            <w:tr w:rsidR="00BC5515" w:rsidRPr="001658D7" w:rsidTr="00CD1B73">
              <w:trPr>
                <w:gridAfter w:val="1"/>
                <w:wAfter w:w="5531" w:type="dxa"/>
                <w:trHeight w:val="227"/>
              </w:trPr>
              <w:tc>
                <w:tcPr>
                  <w:tcW w:w="1139" w:type="dxa"/>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Europe</w:t>
                  </w:r>
                </w:p>
              </w:tc>
              <w:tc>
                <w:tcPr>
                  <w:tcW w:w="1269" w:type="dxa"/>
                  <w:tcBorders>
                    <w:top w:val="nil"/>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5.8%</w:t>
                  </w:r>
                </w:p>
              </w:tc>
              <w:tc>
                <w:tcPr>
                  <w:tcW w:w="1275"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3.9%</w:t>
                  </w:r>
                </w:p>
              </w:tc>
              <w:tc>
                <w:tcPr>
                  <w:tcW w:w="1276" w:type="dxa"/>
                  <w:tcBorders>
                    <w:top w:val="nil"/>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1.2%pts</w:t>
                  </w:r>
                </w:p>
              </w:tc>
            </w:tr>
            <w:tr w:rsidR="00BC5515" w:rsidRPr="001658D7" w:rsidTr="00CD1B73">
              <w:trPr>
                <w:gridAfter w:val="1"/>
                <w:wAfter w:w="5531" w:type="dxa"/>
                <w:trHeight w:val="227"/>
              </w:trPr>
              <w:tc>
                <w:tcPr>
                  <w:tcW w:w="1139" w:type="dxa"/>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AMEA</w:t>
                  </w:r>
                </w:p>
              </w:tc>
              <w:tc>
                <w:tcPr>
                  <w:tcW w:w="1269" w:type="dxa"/>
                  <w:tcBorders>
                    <w:top w:val="nil"/>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6.2%</w:t>
                  </w:r>
                </w:p>
              </w:tc>
              <w:tc>
                <w:tcPr>
                  <w:tcW w:w="1275"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1.9%</w:t>
                  </w:r>
                </w:p>
              </w:tc>
              <w:tc>
                <w:tcPr>
                  <w:tcW w:w="1276" w:type="dxa"/>
                  <w:tcBorders>
                    <w:top w:val="nil"/>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3.0%pts</w:t>
                  </w:r>
                </w:p>
              </w:tc>
            </w:tr>
            <w:tr w:rsidR="00BC5515" w:rsidRPr="001658D7" w:rsidTr="00CD1B73">
              <w:trPr>
                <w:gridAfter w:val="1"/>
                <w:wAfter w:w="5531" w:type="dxa"/>
                <w:trHeight w:val="227"/>
              </w:trPr>
              <w:tc>
                <w:tcPr>
                  <w:tcW w:w="1139" w:type="dxa"/>
                  <w:tcBorders>
                    <w:top w:val="nil"/>
                    <w:left w:val="single" w:sz="4" w:space="0" w:color="auto"/>
                    <w:bottom w:val="single" w:sz="4" w:space="0" w:color="auto"/>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G. China</w:t>
                  </w:r>
                </w:p>
              </w:tc>
              <w:tc>
                <w:tcPr>
                  <w:tcW w:w="1269" w:type="dxa"/>
                  <w:tcBorders>
                    <w:top w:val="nil"/>
                    <w:left w:val="single" w:sz="4" w:space="0" w:color="auto"/>
                    <w:bottom w:val="single" w:sz="4" w:space="0" w:color="auto"/>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2.4%</w:t>
                  </w:r>
                </w:p>
              </w:tc>
              <w:tc>
                <w:tcPr>
                  <w:tcW w:w="1275" w:type="dxa"/>
                  <w:tcBorders>
                    <w:top w:val="nil"/>
                    <w:left w:val="nil"/>
                    <w:bottom w:val="single" w:sz="4" w:space="0" w:color="auto"/>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(2.7)%</w:t>
                  </w:r>
                </w:p>
              </w:tc>
              <w:tc>
                <w:tcPr>
                  <w:tcW w:w="1276" w:type="dxa"/>
                  <w:tcBorders>
                    <w:top w:val="nil"/>
                    <w:left w:val="nil"/>
                    <w:bottom w:val="single" w:sz="4" w:space="0" w:color="auto"/>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2.8%pts</w:t>
                  </w:r>
                </w:p>
              </w:tc>
            </w:tr>
          </w:tbl>
          <w:p w:rsidR="00BC5515" w:rsidRPr="001658D7" w:rsidRDefault="00BC5515" w:rsidP="001658D7">
            <w:pPr>
              <w:tabs>
                <w:tab w:val="left" w:pos="1335"/>
              </w:tabs>
              <w:spacing w:before="60" w:after="60"/>
              <w:rPr>
                <w:rFonts w:ascii="Arial" w:hAnsi="Arial" w:cs="Arial"/>
                <w:b/>
                <w:sz w:val="18"/>
                <w:szCs w:val="18"/>
              </w:rPr>
            </w:pPr>
          </w:p>
          <w:tbl>
            <w:tblPr>
              <w:tblW w:w="10490" w:type="dxa"/>
              <w:tblBorders>
                <w:top w:val="single" w:sz="12" w:space="0" w:color="auto"/>
                <w:left w:val="single" w:sz="12" w:space="0" w:color="auto"/>
                <w:bottom w:val="single" w:sz="12" w:space="0" w:color="auto"/>
                <w:right w:val="single" w:sz="12" w:space="0" w:color="auto"/>
              </w:tblBorders>
              <w:tblLayout w:type="fixed"/>
              <w:tblCellMar>
                <w:right w:w="170" w:type="dxa"/>
              </w:tblCellMar>
              <w:tblLook w:val="00A0" w:firstRow="1" w:lastRow="0" w:firstColumn="1" w:lastColumn="0" w:noHBand="0" w:noVBand="0"/>
            </w:tblPr>
            <w:tblGrid>
              <w:gridCol w:w="1139"/>
              <w:gridCol w:w="1269"/>
              <w:gridCol w:w="1275"/>
              <w:gridCol w:w="1276"/>
              <w:gridCol w:w="5531"/>
            </w:tblGrid>
            <w:tr w:rsidR="00825511" w:rsidRPr="001658D7" w:rsidTr="005302F5">
              <w:tc>
                <w:tcPr>
                  <w:tcW w:w="10490" w:type="dxa"/>
                  <w:gridSpan w:val="5"/>
                  <w:tcBorders>
                    <w:top w:val="nil"/>
                    <w:left w:val="nil"/>
                    <w:bottom w:val="nil"/>
                    <w:right w:val="nil"/>
                  </w:tcBorders>
                </w:tcPr>
                <w:p w:rsidR="00825511" w:rsidRPr="001658D7" w:rsidRDefault="00825511" w:rsidP="001658D7">
                  <w:pPr>
                    <w:spacing w:before="60" w:after="60"/>
                    <w:rPr>
                      <w:rFonts w:ascii="Arial" w:hAnsi="Arial" w:cs="Arial"/>
                      <w:b/>
                      <w:sz w:val="18"/>
                      <w:szCs w:val="18"/>
                    </w:rPr>
                  </w:pPr>
                  <w:r w:rsidRPr="001658D7">
                    <w:rPr>
                      <w:rFonts w:ascii="Arial" w:hAnsi="Arial" w:cs="Arial"/>
                      <w:b/>
                      <w:sz w:val="18"/>
                      <w:szCs w:val="18"/>
                    </w:rPr>
                    <w:t>Appendix 2: First quarter RevPAR at constant exchange rates (CER) vs. actual exchange rates (AER)</w:t>
                  </w:r>
                </w:p>
              </w:tc>
            </w:tr>
            <w:tr w:rsidR="00825511" w:rsidRPr="001658D7" w:rsidTr="005302F5">
              <w:trPr>
                <w:gridAfter w:val="1"/>
                <w:wAfter w:w="5531" w:type="dxa"/>
              </w:trPr>
              <w:tc>
                <w:tcPr>
                  <w:tcW w:w="1139" w:type="dxa"/>
                  <w:vMerge w:val="restart"/>
                  <w:tcBorders>
                    <w:top w:val="single" w:sz="4" w:space="0" w:color="auto"/>
                    <w:left w:val="single" w:sz="4" w:space="0" w:color="auto"/>
                    <w:bottom w:val="nil"/>
                    <w:right w:val="single" w:sz="4" w:space="0" w:color="auto"/>
                  </w:tcBorders>
                  <w:vAlign w:val="center"/>
                </w:tcPr>
                <w:p w:rsidR="00825511" w:rsidRPr="001658D7" w:rsidRDefault="00825511" w:rsidP="001658D7">
                  <w:pPr>
                    <w:spacing w:before="60" w:after="60"/>
                    <w:rPr>
                      <w:rFonts w:ascii="Arial" w:hAnsi="Arial" w:cs="Arial"/>
                      <w:b/>
                      <w:sz w:val="18"/>
                      <w:szCs w:val="18"/>
                    </w:rPr>
                  </w:pPr>
                </w:p>
                <w:p w:rsidR="00825511" w:rsidRPr="001658D7" w:rsidRDefault="00825511" w:rsidP="001658D7">
                  <w:pPr>
                    <w:spacing w:before="60" w:after="60"/>
                    <w:rPr>
                      <w:rFonts w:ascii="Arial" w:hAnsi="Arial" w:cs="Arial"/>
                      <w:b/>
                      <w:sz w:val="18"/>
                      <w:szCs w:val="18"/>
                    </w:rPr>
                  </w:pPr>
                </w:p>
              </w:tc>
              <w:tc>
                <w:tcPr>
                  <w:tcW w:w="3820" w:type="dxa"/>
                  <w:gridSpan w:val="3"/>
                  <w:tcBorders>
                    <w:top w:val="single" w:sz="4" w:space="0" w:color="auto"/>
                    <w:left w:val="single" w:sz="4" w:space="0" w:color="auto"/>
                    <w:bottom w:val="nil"/>
                    <w:right w:val="single" w:sz="4" w:space="0" w:color="auto"/>
                  </w:tcBorders>
                  <w:vAlign w:val="center"/>
                </w:tcPr>
                <w:p w:rsidR="00825511" w:rsidRPr="001658D7" w:rsidRDefault="00825511" w:rsidP="001658D7">
                  <w:pPr>
                    <w:spacing w:before="60" w:after="60"/>
                    <w:jc w:val="center"/>
                    <w:rPr>
                      <w:rFonts w:ascii="Arial" w:hAnsi="Arial" w:cs="Arial"/>
                      <w:b/>
                      <w:sz w:val="18"/>
                      <w:szCs w:val="18"/>
                    </w:rPr>
                  </w:pPr>
                  <w:r w:rsidRPr="001658D7">
                    <w:rPr>
                      <w:rFonts w:ascii="Arial" w:hAnsi="Arial" w:cs="Arial"/>
                      <w:b/>
                      <w:sz w:val="18"/>
                      <w:szCs w:val="18"/>
                    </w:rPr>
                    <w:t>Q1 201</w:t>
                  </w:r>
                  <w:r w:rsidR="00E2427E">
                    <w:rPr>
                      <w:rFonts w:ascii="Arial" w:hAnsi="Arial" w:cs="Arial"/>
                      <w:b/>
                      <w:sz w:val="18"/>
                      <w:szCs w:val="18"/>
                    </w:rPr>
                    <w:t>5</w:t>
                  </w:r>
                </w:p>
              </w:tc>
            </w:tr>
            <w:tr w:rsidR="00825511" w:rsidRPr="001658D7" w:rsidTr="005302F5">
              <w:trPr>
                <w:gridAfter w:val="1"/>
                <w:wAfter w:w="5531" w:type="dxa"/>
              </w:trPr>
              <w:tc>
                <w:tcPr>
                  <w:tcW w:w="1139" w:type="dxa"/>
                  <w:vMerge/>
                  <w:tcBorders>
                    <w:top w:val="nil"/>
                    <w:left w:val="single" w:sz="4" w:space="0" w:color="auto"/>
                    <w:bottom w:val="nil"/>
                    <w:right w:val="single" w:sz="4" w:space="0" w:color="auto"/>
                  </w:tcBorders>
                </w:tcPr>
                <w:p w:rsidR="00825511" w:rsidRPr="001658D7" w:rsidRDefault="00825511" w:rsidP="001658D7">
                  <w:pPr>
                    <w:spacing w:before="60" w:after="60"/>
                    <w:rPr>
                      <w:rFonts w:ascii="Arial" w:hAnsi="Arial" w:cs="Arial"/>
                      <w:sz w:val="18"/>
                      <w:szCs w:val="18"/>
                    </w:rPr>
                  </w:pPr>
                </w:p>
              </w:tc>
              <w:tc>
                <w:tcPr>
                  <w:tcW w:w="1269" w:type="dxa"/>
                  <w:tcBorders>
                    <w:top w:val="nil"/>
                    <w:left w:val="single" w:sz="4" w:space="0" w:color="auto"/>
                    <w:bottom w:val="single" w:sz="4" w:space="0" w:color="auto"/>
                    <w:right w:val="nil"/>
                  </w:tcBorders>
                  <w:vAlign w:val="center"/>
                </w:tcPr>
                <w:p w:rsidR="00825511" w:rsidRPr="001658D7" w:rsidRDefault="00825511" w:rsidP="001658D7">
                  <w:pPr>
                    <w:spacing w:before="60" w:after="60"/>
                    <w:jc w:val="right"/>
                    <w:rPr>
                      <w:rFonts w:ascii="Arial" w:hAnsi="Arial" w:cs="Arial"/>
                      <w:b/>
                      <w:sz w:val="18"/>
                      <w:szCs w:val="18"/>
                    </w:rPr>
                  </w:pPr>
                  <w:r w:rsidRPr="001658D7">
                    <w:rPr>
                      <w:rFonts w:ascii="Arial" w:hAnsi="Arial" w:cs="Arial"/>
                      <w:b/>
                      <w:sz w:val="18"/>
                      <w:szCs w:val="18"/>
                    </w:rPr>
                    <w:t>CER</w:t>
                  </w:r>
                </w:p>
              </w:tc>
              <w:tc>
                <w:tcPr>
                  <w:tcW w:w="1275" w:type="dxa"/>
                  <w:tcBorders>
                    <w:top w:val="nil"/>
                    <w:left w:val="nil"/>
                    <w:bottom w:val="single" w:sz="4" w:space="0" w:color="auto"/>
                    <w:right w:val="nil"/>
                  </w:tcBorders>
                  <w:vAlign w:val="center"/>
                </w:tcPr>
                <w:p w:rsidR="00825511" w:rsidRPr="001658D7" w:rsidRDefault="00825511" w:rsidP="001658D7">
                  <w:pPr>
                    <w:spacing w:before="60" w:after="60"/>
                    <w:jc w:val="right"/>
                    <w:rPr>
                      <w:rFonts w:ascii="Arial" w:hAnsi="Arial" w:cs="Arial"/>
                      <w:b/>
                      <w:sz w:val="18"/>
                      <w:szCs w:val="18"/>
                    </w:rPr>
                  </w:pPr>
                  <w:r w:rsidRPr="001658D7">
                    <w:rPr>
                      <w:rFonts w:ascii="Arial" w:hAnsi="Arial" w:cs="Arial"/>
                      <w:b/>
                      <w:sz w:val="18"/>
                      <w:szCs w:val="18"/>
                    </w:rPr>
                    <w:t>AER</w:t>
                  </w:r>
                </w:p>
              </w:tc>
              <w:tc>
                <w:tcPr>
                  <w:tcW w:w="1276" w:type="dxa"/>
                  <w:tcBorders>
                    <w:top w:val="nil"/>
                    <w:left w:val="nil"/>
                    <w:bottom w:val="single" w:sz="4" w:space="0" w:color="auto"/>
                    <w:right w:val="single" w:sz="4" w:space="0" w:color="auto"/>
                  </w:tcBorders>
                  <w:vAlign w:val="center"/>
                </w:tcPr>
                <w:p w:rsidR="00825511" w:rsidRPr="001658D7" w:rsidRDefault="00825511" w:rsidP="001658D7">
                  <w:pPr>
                    <w:spacing w:before="60" w:after="60"/>
                    <w:jc w:val="right"/>
                    <w:rPr>
                      <w:rFonts w:ascii="Arial" w:hAnsi="Arial" w:cs="Arial"/>
                      <w:b/>
                      <w:sz w:val="18"/>
                      <w:szCs w:val="18"/>
                    </w:rPr>
                  </w:pPr>
                  <w:r w:rsidRPr="001658D7">
                    <w:rPr>
                      <w:rFonts w:ascii="Arial" w:hAnsi="Arial" w:cs="Arial"/>
                      <w:b/>
                      <w:sz w:val="18"/>
                      <w:szCs w:val="18"/>
                    </w:rPr>
                    <w:t>Difference</w:t>
                  </w:r>
                </w:p>
              </w:tc>
            </w:tr>
            <w:tr w:rsidR="00825511" w:rsidRPr="001658D7" w:rsidTr="005302F5">
              <w:trPr>
                <w:gridAfter w:val="1"/>
                <w:wAfter w:w="5531" w:type="dxa"/>
                <w:trHeight w:val="227"/>
              </w:trPr>
              <w:tc>
                <w:tcPr>
                  <w:tcW w:w="1139" w:type="dxa"/>
                  <w:tcBorders>
                    <w:top w:val="nil"/>
                    <w:left w:val="single" w:sz="4" w:space="0" w:color="auto"/>
                    <w:bottom w:val="nil"/>
                    <w:right w:val="single" w:sz="4" w:space="0" w:color="auto"/>
                  </w:tcBorders>
                </w:tcPr>
                <w:p w:rsidR="00825511" w:rsidRPr="001658D7" w:rsidRDefault="00825511" w:rsidP="001658D7">
                  <w:pPr>
                    <w:spacing w:before="60" w:after="60"/>
                    <w:rPr>
                      <w:rFonts w:ascii="Arial" w:hAnsi="Arial" w:cs="Arial"/>
                      <w:b/>
                      <w:sz w:val="18"/>
                      <w:szCs w:val="18"/>
                    </w:rPr>
                  </w:pPr>
                  <w:r w:rsidRPr="001658D7">
                    <w:rPr>
                      <w:rFonts w:ascii="Arial" w:hAnsi="Arial" w:cs="Arial"/>
                      <w:b/>
                      <w:sz w:val="18"/>
                      <w:szCs w:val="18"/>
                    </w:rPr>
                    <w:t>Group</w:t>
                  </w:r>
                </w:p>
              </w:tc>
              <w:tc>
                <w:tcPr>
                  <w:tcW w:w="1269" w:type="dxa"/>
                  <w:tcBorders>
                    <w:top w:val="single" w:sz="4" w:space="0" w:color="auto"/>
                    <w:left w:val="single" w:sz="4" w:space="0" w:color="auto"/>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b/>
                      <w:sz w:val="18"/>
                      <w:szCs w:val="18"/>
                    </w:rPr>
                    <w:t>5.9%</w:t>
                  </w:r>
                </w:p>
              </w:tc>
              <w:tc>
                <w:tcPr>
                  <w:tcW w:w="1275" w:type="dxa"/>
                  <w:tcBorders>
                    <w:top w:val="single" w:sz="4" w:space="0" w:color="auto"/>
                    <w:left w:val="nil"/>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b/>
                      <w:sz w:val="18"/>
                      <w:szCs w:val="18"/>
                    </w:rPr>
                    <w:t>1.5%</w:t>
                  </w:r>
                </w:p>
              </w:tc>
              <w:tc>
                <w:tcPr>
                  <w:tcW w:w="1276" w:type="dxa"/>
                  <w:tcBorders>
                    <w:top w:val="single" w:sz="4" w:space="0" w:color="auto"/>
                    <w:left w:val="nil"/>
                    <w:bottom w:val="nil"/>
                    <w:right w:val="single" w:sz="4" w:space="0" w:color="auto"/>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b/>
                      <w:sz w:val="18"/>
                      <w:szCs w:val="18"/>
                    </w:rPr>
                    <w:t>(4.4)%</w:t>
                  </w:r>
                </w:p>
              </w:tc>
            </w:tr>
            <w:tr w:rsidR="00825511" w:rsidRPr="001658D7" w:rsidTr="005302F5">
              <w:trPr>
                <w:gridAfter w:val="1"/>
                <w:wAfter w:w="5531" w:type="dxa"/>
                <w:trHeight w:val="227"/>
              </w:trPr>
              <w:tc>
                <w:tcPr>
                  <w:tcW w:w="1139" w:type="dxa"/>
                  <w:tcBorders>
                    <w:top w:val="nil"/>
                    <w:left w:val="single" w:sz="4" w:space="0" w:color="auto"/>
                    <w:bottom w:val="nil"/>
                    <w:right w:val="single" w:sz="4" w:space="0" w:color="auto"/>
                  </w:tcBorders>
                </w:tcPr>
                <w:p w:rsidR="00825511" w:rsidRPr="001658D7" w:rsidRDefault="00825511" w:rsidP="001658D7">
                  <w:pPr>
                    <w:spacing w:before="60" w:after="60"/>
                    <w:rPr>
                      <w:rFonts w:ascii="Arial" w:hAnsi="Arial" w:cs="Arial"/>
                      <w:sz w:val="18"/>
                      <w:szCs w:val="18"/>
                    </w:rPr>
                  </w:pPr>
                  <w:r w:rsidRPr="001658D7">
                    <w:rPr>
                      <w:rFonts w:ascii="Arial" w:hAnsi="Arial" w:cs="Arial"/>
                      <w:sz w:val="18"/>
                      <w:szCs w:val="18"/>
                    </w:rPr>
                    <w:t>Americas</w:t>
                  </w:r>
                </w:p>
              </w:tc>
              <w:tc>
                <w:tcPr>
                  <w:tcW w:w="1269" w:type="dxa"/>
                  <w:tcBorders>
                    <w:top w:val="nil"/>
                    <w:left w:val="single" w:sz="4" w:space="0" w:color="auto"/>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6.2%</w:t>
                  </w:r>
                </w:p>
              </w:tc>
              <w:tc>
                <w:tcPr>
                  <w:tcW w:w="1275" w:type="dxa"/>
                  <w:tcBorders>
                    <w:top w:val="nil"/>
                    <w:left w:val="nil"/>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4.8%</w:t>
                  </w:r>
                </w:p>
              </w:tc>
              <w:tc>
                <w:tcPr>
                  <w:tcW w:w="1276" w:type="dxa"/>
                  <w:tcBorders>
                    <w:top w:val="nil"/>
                    <w:left w:val="nil"/>
                    <w:bottom w:val="nil"/>
                    <w:right w:val="single" w:sz="4" w:space="0" w:color="auto"/>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(1.4)%</w:t>
                  </w:r>
                </w:p>
              </w:tc>
            </w:tr>
            <w:tr w:rsidR="00825511" w:rsidRPr="001658D7" w:rsidTr="005302F5">
              <w:trPr>
                <w:gridAfter w:val="1"/>
                <w:wAfter w:w="5531" w:type="dxa"/>
                <w:trHeight w:val="227"/>
              </w:trPr>
              <w:tc>
                <w:tcPr>
                  <w:tcW w:w="1139" w:type="dxa"/>
                  <w:tcBorders>
                    <w:top w:val="nil"/>
                    <w:left w:val="single" w:sz="4" w:space="0" w:color="auto"/>
                    <w:bottom w:val="nil"/>
                    <w:right w:val="single" w:sz="4" w:space="0" w:color="auto"/>
                  </w:tcBorders>
                </w:tcPr>
                <w:p w:rsidR="00825511" w:rsidRPr="001658D7" w:rsidRDefault="00825511" w:rsidP="001658D7">
                  <w:pPr>
                    <w:spacing w:before="60" w:after="60"/>
                    <w:rPr>
                      <w:rFonts w:ascii="Arial" w:hAnsi="Arial" w:cs="Arial"/>
                      <w:sz w:val="18"/>
                      <w:szCs w:val="18"/>
                    </w:rPr>
                  </w:pPr>
                  <w:r w:rsidRPr="001658D7">
                    <w:rPr>
                      <w:rFonts w:ascii="Arial" w:hAnsi="Arial" w:cs="Arial"/>
                      <w:sz w:val="18"/>
                      <w:szCs w:val="18"/>
                    </w:rPr>
                    <w:t>Europe</w:t>
                  </w:r>
                </w:p>
              </w:tc>
              <w:tc>
                <w:tcPr>
                  <w:tcW w:w="1269" w:type="dxa"/>
                  <w:tcBorders>
                    <w:top w:val="nil"/>
                    <w:left w:val="single" w:sz="4" w:space="0" w:color="auto"/>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5.8%</w:t>
                  </w:r>
                </w:p>
              </w:tc>
              <w:tc>
                <w:tcPr>
                  <w:tcW w:w="1275" w:type="dxa"/>
                  <w:tcBorders>
                    <w:top w:val="nil"/>
                    <w:left w:val="nil"/>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(9.4)%</w:t>
                  </w:r>
                </w:p>
              </w:tc>
              <w:tc>
                <w:tcPr>
                  <w:tcW w:w="1276" w:type="dxa"/>
                  <w:tcBorders>
                    <w:top w:val="nil"/>
                    <w:left w:val="nil"/>
                    <w:bottom w:val="nil"/>
                    <w:right w:val="single" w:sz="4" w:space="0" w:color="auto"/>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(15.2)%</w:t>
                  </w:r>
                </w:p>
              </w:tc>
            </w:tr>
            <w:tr w:rsidR="00825511" w:rsidRPr="001658D7" w:rsidTr="005302F5">
              <w:trPr>
                <w:gridAfter w:val="1"/>
                <w:wAfter w:w="5531" w:type="dxa"/>
                <w:trHeight w:val="227"/>
              </w:trPr>
              <w:tc>
                <w:tcPr>
                  <w:tcW w:w="1139" w:type="dxa"/>
                  <w:tcBorders>
                    <w:top w:val="nil"/>
                    <w:left w:val="single" w:sz="4" w:space="0" w:color="auto"/>
                    <w:bottom w:val="nil"/>
                    <w:right w:val="single" w:sz="4" w:space="0" w:color="auto"/>
                  </w:tcBorders>
                </w:tcPr>
                <w:p w:rsidR="00825511" w:rsidRPr="001658D7" w:rsidRDefault="00825511" w:rsidP="001658D7">
                  <w:pPr>
                    <w:spacing w:before="60" w:after="60"/>
                    <w:rPr>
                      <w:rFonts w:ascii="Arial" w:hAnsi="Arial" w:cs="Arial"/>
                      <w:sz w:val="18"/>
                      <w:szCs w:val="18"/>
                    </w:rPr>
                  </w:pPr>
                  <w:r w:rsidRPr="001658D7">
                    <w:rPr>
                      <w:rFonts w:ascii="Arial" w:hAnsi="Arial" w:cs="Arial"/>
                      <w:sz w:val="18"/>
                      <w:szCs w:val="18"/>
                    </w:rPr>
                    <w:t>AMEA</w:t>
                  </w:r>
                </w:p>
              </w:tc>
              <w:tc>
                <w:tcPr>
                  <w:tcW w:w="1269" w:type="dxa"/>
                  <w:tcBorders>
                    <w:top w:val="nil"/>
                    <w:left w:val="single" w:sz="4" w:space="0" w:color="auto"/>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6.2%</w:t>
                  </w:r>
                </w:p>
              </w:tc>
              <w:tc>
                <w:tcPr>
                  <w:tcW w:w="1275" w:type="dxa"/>
                  <w:tcBorders>
                    <w:top w:val="nil"/>
                    <w:left w:val="nil"/>
                    <w:bottom w:val="nil"/>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0.3%</w:t>
                  </w:r>
                </w:p>
              </w:tc>
              <w:tc>
                <w:tcPr>
                  <w:tcW w:w="1276" w:type="dxa"/>
                  <w:tcBorders>
                    <w:top w:val="nil"/>
                    <w:left w:val="nil"/>
                    <w:bottom w:val="nil"/>
                    <w:right w:val="single" w:sz="4" w:space="0" w:color="auto"/>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(5.9)%</w:t>
                  </w:r>
                </w:p>
              </w:tc>
            </w:tr>
            <w:tr w:rsidR="00825511" w:rsidRPr="001658D7" w:rsidTr="005302F5">
              <w:trPr>
                <w:gridAfter w:val="1"/>
                <w:wAfter w:w="5531" w:type="dxa"/>
                <w:trHeight w:val="227"/>
              </w:trPr>
              <w:tc>
                <w:tcPr>
                  <w:tcW w:w="1139" w:type="dxa"/>
                  <w:tcBorders>
                    <w:top w:val="nil"/>
                    <w:left w:val="single" w:sz="4" w:space="0" w:color="auto"/>
                    <w:bottom w:val="single" w:sz="4" w:space="0" w:color="auto"/>
                    <w:right w:val="single" w:sz="4" w:space="0" w:color="auto"/>
                  </w:tcBorders>
                </w:tcPr>
                <w:p w:rsidR="00825511" w:rsidRPr="001658D7" w:rsidRDefault="00825511" w:rsidP="001658D7">
                  <w:pPr>
                    <w:spacing w:before="60" w:after="60"/>
                    <w:rPr>
                      <w:rFonts w:ascii="Arial" w:hAnsi="Arial" w:cs="Arial"/>
                      <w:sz w:val="18"/>
                      <w:szCs w:val="18"/>
                    </w:rPr>
                  </w:pPr>
                  <w:r w:rsidRPr="001658D7">
                    <w:rPr>
                      <w:rFonts w:ascii="Arial" w:hAnsi="Arial" w:cs="Arial"/>
                      <w:sz w:val="18"/>
                      <w:szCs w:val="18"/>
                    </w:rPr>
                    <w:t>G. China</w:t>
                  </w:r>
                </w:p>
              </w:tc>
              <w:tc>
                <w:tcPr>
                  <w:tcW w:w="1269" w:type="dxa"/>
                  <w:tcBorders>
                    <w:top w:val="nil"/>
                    <w:left w:val="single" w:sz="4" w:space="0" w:color="auto"/>
                    <w:bottom w:val="single" w:sz="4" w:space="0" w:color="auto"/>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2.4%</w:t>
                  </w:r>
                </w:p>
              </w:tc>
              <w:tc>
                <w:tcPr>
                  <w:tcW w:w="1275" w:type="dxa"/>
                  <w:tcBorders>
                    <w:top w:val="nil"/>
                    <w:left w:val="nil"/>
                    <w:bottom w:val="single" w:sz="4" w:space="0" w:color="auto"/>
                    <w:right w:val="nil"/>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0.8%</w:t>
                  </w:r>
                </w:p>
              </w:tc>
              <w:tc>
                <w:tcPr>
                  <w:tcW w:w="1276" w:type="dxa"/>
                  <w:tcBorders>
                    <w:top w:val="nil"/>
                    <w:left w:val="nil"/>
                    <w:bottom w:val="single" w:sz="4" w:space="0" w:color="auto"/>
                    <w:right w:val="single" w:sz="4" w:space="0" w:color="auto"/>
                  </w:tcBorders>
                </w:tcPr>
                <w:p w:rsidR="00825511" w:rsidRPr="001658D7" w:rsidRDefault="00825511" w:rsidP="001658D7">
                  <w:pPr>
                    <w:spacing w:before="60" w:after="60"/>
                    <w:jc w:val="right"/>
                    <w:rPr>
                      <w:rFonts w:ascii="Arial" w:hAnsi="Arial" w:cs="Arial"/>
                      <w:sz w:val="18"/>
                      <w:szCs w:val="18"/>
                    </w:rPr>
                  </w:pPr>
                  <w:r w:rsidRPr="001658D7">
                    <w:rPr>
                      <w:rFonts w:ascii="Arial" w:hAnsi="Arial" w:cs="Arial"/>
                      <w:sz w:val="18"/>
                      <w:szCs w:val="18"/>
                    </w:rPr>
                    <w:t>(1.6)%</w:t>
                  </w:r>
                </w:p>
              </w:tc>
            </w:tr>
          </w:tbl>
          <w:p w:rsidR="00825511" w:rsidRPr="001658D7" w:rsidRDefault="00825511" w:rsidP="001658D7">
            <w:pPr>
              <w:spacing w:before="60" w:after="60"/>
              <w:rPr>
                <w:rFonts w:ascii="Arial" w:hAnsi="Arial" w:cs="Arial"/>
                <w:b/>
                <w:sz w:val="18"/>
                <w:szCs w:val="18"/>
              </w:rPr>
            </w:pPr>
            <w:r w:rsidRPr="001658D7">
              <w:rPr>
                <w:rFonts w:ascii="Arial" w:hAnsi="Arial" w:cs="Arial"/>
                <w:b/>
                <w:sz w:val="18"/>
                <w:szCs w:val="18"/>
              </w:rPr>
              <w:t xml:space="preserve">  </w:t>
            </w:r>
          </w:p>
          <w:tbl>
            <w:tblPr>
              <w:tblW w:w="10490" w:type="dxa"/>
              <w:tblBorders>
                <w:top w:val="single" w:sz="12" w:space="0" w:color="auto"/>
                <w:left w:val="single" w:sz="12" w:space="0" w:color="auto"/>
                <w:bottom w:val="single" w:sz="12" w:space="0" w:color="auto"/>
                <w:right w:val="single" w:sz="12" w:space="0" w:color="auto"/>
              </w:tblBorders>
              <w:tblLayout w:type="fixed"/>
              <w:tblCellMar>
                <w:right w:w="170" w:type="dxa"/>
              </w:tblCellMar>
              <w:tblLook w:val="00A0" w:firstRow="1" w:lastRow="0" w:firstColumn="1" w:lastColumn="0" w:noHBand="0" w:noVBand="0"/>
            </w:tblPr>
            <w:tblGrid>
              <w:gridCol w:w="2019"/>
              <w:gridCol w:w="1275"/>
              <w:gridCol w:w="1276"/>
              <w:gridCol w:w="1276"/>
              <w:gridCol w:w="1276"/>
              <w:gridCol w:w="1134"/>
              <w:gridCol w:w="1134"/>
              <w:gridCol w:w="1100"/>
            </w:tblGrid>
            <w:tr w:rsidR="00BC5515" w:rsidRPr="001658D7" w:rsidTr="009D430E">
              <w:tc>
                <w:tcPr>
                  <w:tcW w:w="10490" w:type="dxa"/>
                  <w:gridSpan w:val="8"/>
                  <w:tcBorders>
                    <w:top w:val="nil"/>
                    <w:left w:val="nil"/>
                    <w:bottom w:val="single" w:sz="4" w:space="0" w:color="auto"/>
                    <w:right w:val="nil"/>
                  </w:tcBorders>
                </w:tcPr>
                <w:p w:rsidR="00BC5515" w:rsidRPr="001658D7" w:rsidRDefault="00825511" w:rsidP="001658D7">
                  <w:pPr>
                    <w:spacing w:before="60" w:after="60"/>
                    <w:rPr>
                      <w:rFonts w:ascii="Arial" w:hAnsi="Arial" w:cs="Arial"/>
                      <w:b/>
                      <w:sz w:val="18"/>
                      <w:szCs w:val="18"/>
                    </w:rPr>
                  </w:pPr>
                  <w:r w:rsidRPr="001658D7">
                    <w:rPr>
                      <w:rFonts w:ascii="Arial" w:hAnsi="Arial" w:cs="Arial"/>
                      <w:b/>
                      <w:sz w:val="18"/>
                      <w:szCs w:val="18"/>
                    </w:rPr>
                    <w:t>Appendix 3</w:t>
                  </w:r>
                  <w:r w:rsidR="00BC5515" w:rsidRPr="001658D7">
                    <w:rPr>
                      <w:rFonts w:ascii="Arial" w:hAnsi="Arial" w:cs="Arial"/>
                      <w:b/>
                      <w:sz w:val="18"/>
                      <w:szCs w:val="18"/>
                    </w:rPr>
                    <w:t xml:space="preserve">: First quarter system &amp; pipeline summary (rooms) </w:t>
                  </w:r>
                </w:p>
              </w:tc>
            </w:tr>
            <w:tr w:rsidR="00BC5515" w:rsidRPr="001658D7" w:rsidTr="00CD1B73">
              <w:tc>
                <w:tcPr>
                  <w:tcW w:w="2019" w:type="dxa"/>
                  <w:vMerge w:val="restart"/>
                  <w:tcBorders>
                    <w:top w:val="single" w:sz="4" w:space="0" w:color="auto"/>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p>
              </w:tc>
              <w:tc>
                <w:tcPr>
                  <w:tcW w:w="6237" w:type="dxa"/>
                  <w:gridSpan w:val="5"/>
                  <w:tcBorders>
                    <w:top w:val="single" w:sz="4" w:space="0" w:color="auto"/>
                    <w:left w:val="single" w:sz="4" w:space="0" w:color="auto"/>
                    <w:bottom w:val="nil"/>
                    <w:right w:val="single" w:sz="4" w:space="0" w:color="auto"/>
                  </w:tcBorders>
                </w:tcPr>
                <w:p w:rsidR="00BC5515" w:rsidRPr="001658D7" w:rsidRDefault="00BC5515" w:rsidP="001658D7">
                  <w:pPr>
                    <w:spacing w:before="60" w:after="60"/>
                    <w:jc w:val="center"/>
                    <w:rPr>
                      <w:rFonts w:ascii="Arial" w:hAnsi="Arial" w:cs="Arial"/>
                      <w:b/>
                      <w:sz w:val="18"/>
                      <w:szCs w:val="18"/>
                    </w:rPr>
                  </w:pPr>
                  <w:r w:rsidRPr="001658D7">
                    <w:rPr>
                      <w:rFonts w:ascii="Arial" w:hAnsi="Arial" w:cs="Arial"/>
                      <w:b/>
                      <w:sz w:val="18"/>
                      <w:szCs w:val="18"/>
                    </w:rPr>
                    <w:t>System</w:t>
                  </w:r>
                </w:p>
              </w:tc>
              <w:tc>
                <w:tcPr>
                  <w:tcW w:w="2234" w:type="dxa"/>
                  <w:gridSpan w:val="2"/>
                  <w:tcBorders>
                    <w:top w:val="single" w:sz="4" w:space="0" w:color="auto"/>
                    <w:left w:val="single" w:sz="4" w:space="0" w:color="auto"/>
                    <w:bottom w:val="nil"/>
                    <w:right w:val="single" w:sz="4" w:space="0" w:color="auto"/>
                  </w:tcBorders>
                </w:tcPr>
                <w:p w:rsidR="00BC5515" w:rsidRPr="001658D7" w:rsidRDefault="00BC5515" w:rsidP="001658D7">
                  <w:pPr>
                    <w:spacing w:before="60" w:after="60"/>
                    <w:jc w:val="center"/>
                    <w:rPr>
                      <w:rFonts w:ascii="Arial" w:hAnsi="Arial" w:cs="Arial"/>
                      <w:b/>
                      <w:sz w:val="18"/>
                      <w:szCs w:val="18"/>
                    </w:rPr>
                  </w:pPr>
                  <w:r w:rsidRPr="001658D7">
                    <w:rPr>
                      <w:rFonts w:ascii="Arial" w:hAnsi="Arial" w:cs="Arial"/>
                      <w:b/>
                      <w:sz w:val="18"/>
                      <w:szCs w:val="18"/>
                    </w:rPr>
                    <w:t>Pipeline</w:t>
                  </w:r>
                </w:p>
              </w:tc>
            </w:tr>
            <w:tr w:rsidR="00BC5515" w:rsidRPr="001658D7" w:rsidTr="00CD1B73">
              <w:tc>
                <w:tcPr>
                  <w:tcW w:w="2019" w:type="dxa"/>
                  <w:vMerge/>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p>
              </w:tc>
              <w:tc>
                <w:tcPr>
                  <w:tcW w:w="1275" w:type="dxa"/>
                  <w:tcBorders>
                    <w:top w:val="nil"/>
                    <w:left w:val="single" w:sz="4" w:space="0" w:color="auto"/>
                    <w:bottom w:val="single" w:sz="4" w:space="0" w:color="auto"/>
                    <w:right w:val="nil"/>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Openings</w:t>
                  </w:r>
                </w:p>
              </w:tc>
              <w:tc>
                <w:tcPr>
                  <w:tcW w:w="1276" w:type="dxa"/>
                  <w:tcBorders>
                    <w:top w:val="nil"/>
                    <w:left w:val="nil"/>
                    <w:bottom w:val="single" w:sz="4" w:space="0" w:color="auto"/>
                    <w:right w:val="nil"/>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Removals</w:t>
                  </w:r>
                </w:p>
              </w:tc>
              <w:tc>
                <w:tcPr>
                  <w:tcW w:w="1276" w:type="dxa"/>
                  <w:tcBorders>
                    <w:top w:val="nil"/>
                    <w:left w:val="nil"/>
                    <w:bottom w:val="single" w:sz="4" w:space="0" w:color="auto"/>
                    <w:right w:val="nil"/>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Net</w:t>
                  </w:r>
                </w:p>
              </w:tc>
              <w:tc>
                <w:tcPr>
                  <w:tcW w:w="1276" w:type="dxa"/>
                  <w:tcBorders>
                    <w:top w:val="nil"/>
                    <w:left w:val="nil"/>
                    <w:bottom w:val="single" w:sz="4" w:space="0" w:color="auto"/>
                    <w:right w:val="nil"/>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Total</w:t>
                  </w:r>
                </w:p>
              </w:tc>
              <w:tc>
                <w:tcPr>
                  <w:tcW w:w="1134" w:type="dxa"/>
                  <w:tcBorders>
                    <w:top w:val="nil"/>
                    <w:left w:val="nil"/>
                    <w:bottom w:val="single" w:sz="4" w:space="0" w:color="auto"/>
                    <w:right w:val="single" w:sz="4" w:space="0" w:color="auto"/>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YoY%</w:t>
                  </w:r>
                </w:p>
              </w:tc>
              <w:tc>
                <w:tcPr>
                  <w:tcW w:w="1134" w:type="dxa"/>
                  <w:tcBorders>
                    <w:top w:val="nil"/>
                    <w:left w:val="single" w:sz="4" w:space="0" w:color="auto"/>
                    <w:bottom w:val="single" w:sz="4" w:space="0" w:color="auto"/>
                    <w:right w:val="nil"/>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Signings</w:t>
                  </w:r>
                </w:p>
              </w:tc>
              <w:tc>
                <w:tcPr>
                  <w:tcW w:w="1100" w:type="dxa"/>
                  <w:tcBorders>
                    <w:top w:val="nil"/>
                    <w:left w:val="nil"/>
                    <w:bottom w:val="single" w:sz="4" w:space="0" w:color="auto"/>
                    <w:right w:val="single" w:sz="4" w:space="0" w:color="auto"/>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Total</w:t>
                  </w:r>
                </w:p>
              </w:tc>
            </w:tr>
            <w:tr w:rsidR="00273F9D" w:rsidRPr="001658D7" w:rsidTr="00CD1B73">
              <w:trPr>
                <w:trHeight w:val="227"/>
              </w:trPr>
              <w:tc>
                <w:tcPr>
                  <w:tcW w:w="2019" w:type="dxa"/>
                  <w:tcBorders>
                    <w:top w:val="nil"/>
                    <w:left w:val="single" w:sz="4" w:space="0" w:color="auto"/>
                    <w:bottom w:val="nil"/>
                    <w:right w:val="single" w:sz="4" w:space="0" w:color="auto"/>
                  </w:tcBorders>
                </w:tcPr>
                <w:p w:rsidR="00273F9D" w:rsidRPr="001658D7" w:rsidRDefault="00273F9D" w:rsidP="001658D7">
                  <w:pPr>
                    <w:spacing w:before="60" w:after="60"/>
                    <w:rPr>
                      <w:rFonts w:ascii="Arial" w:hAnsi="Arial" w:cs="Arial"/>
                      <w:b/>
                      <w:sz w:val="18"/>
                      <w:szCs w:val="18"/>
                    </w:rPr>
                  </w:pPr>
                  <w:r w:rsidRPr="001658D7">
                    <w:rPr>
                      <w:rFonts w:ascii="Arial" w:hAnsi="Arial" w:cs="Arial"/>
                      <w:b/>
                      <w:sz w:val="18"/>
                      <w:szCs w:val="18"/>
                    </w:rPr>
                    <w:t>Group</w:t>
                  </w:r>
                </w:p>
              </w:tc>
              <w:tc>
                <w:tcPr>
                  <w:tcW w:w="1275" w:type="dxa"/>
                  <w:tcBorders>
                    <w:top w:val="single" w:sz="4" w:space="0" w:color="auto"/>
                    <w:left w:val="single" w:sz="4" w:space="0" w:color="auto"/>
                    <w:bottom w:val="nil"/>
                    <w:right w:val="nil"/>
                  </w:tcBorders>
                </w:tcPr>
                <w:p w:rsidR="00273F9D" w:rsidRPr="001658D7" w:rsidRDefault="00273F9D" w:rsidP="001658D7">
                  <w:pPr>
                    <w:spacing w:before="60" w:after="60"/>
                    <w:jc w:val="right"/>
                    <w:rPr>
                      <w:rFonts w:ascii="Arial" w:hAnsi="Arial" w:cs="Arial"/>
                      <w:b/>
                      <w:sz w:val="18"/>
                      <w:szCs w:val="18"/>
                    </w:rPr>
                  </w:pPr>
                  <w:r w:rsidRPr="001658D7">
                    <w:rPr>
                      <w:rFonts w:ascii="Arial" w:hAnsi="Arial" w:cs="Arial"/>
                      <w:b/>
                      <w:sz w:val="18"/>
                      <w:szCs w:val="18"/>
                    </w:rPr>
                    <w:t>18,747</w:t>
                  </w:r>
                </w:p>
              </w:tc>
              <w:tc>
                <w:tcPr>
                  <w:tcW w:w="1276" w:type="dxa"/>
                  <w:tcBorders>
                    <w:top w:val="single" w:sz="4" w:space="0" w:color="auto"/>
                    <w:left w:val="nil"/>
                    <w:bottom w:val="nil"/>
                    <w:right w:val="nil"/>
                  </w:tcBorders>
                </w:tcPr>
                <w:p w:rsidR="00273F9D" w:rsidRPr="001658D7" w:rsidRDefault="00273F9D" w:rsidP="001658D7">
                  <w:pPr>
                    <w:spacing w:before="60" w:after="60"/>
                    <w:jc w:val="right"/>
                    <w:rPr>
                      <w:rFonts w:ascii="Arial" w:hAnsi="Arial" w:cs="Arial"/>
                      <w:b/>
                      <w:sz w:val="18"/>
                      <w:szCs w:val="18"/>
                    </w:rPr>
                  </w:pPr>
                  <w:r w:rsidRPr="001658D7">
                    <w:rPr>
                      <w:rFonts w:ascii="Arial" w:hAnsi="Arial" w:cs="Arial"/>
                      <w:b/>
                      <w:sz w:val="18"/>
                      <w:szCs w:val="18"/>
                    </w:rPr>
                    <w:t>(6,467)</w:t>
                  </w:r>
                </w:p>
              </w:tc>
              <w:tc>
                <w:tcPr>
                  <w:tcW w:w="1276" w:type="dxa"/>
                  <w:tcBorders>
                    <w:top w:val="single" w:sz="4" w:space="0" w:color="auto"/>
                    <w:left w:val="nil"/>
                    <w:bottom w:val="nil"/>
                    <w:right w:val="nil"/>
                  </w:tcBorders>
                </w:tcPr>
                <w:p w:rsidR="00273F9D" w:rsidRPr="001658D7" w:rsidRDefault="00273F9D" w:rsidP="001658D7">
                  <w:pPr>
                    <w:spacing w:before="60" w:after="60"/>
                    <w:jc w:val="right"/>
                    <w:rPr>
                      <w:rFonts w:ascii="Arial" w:hAnsi="Arial" w:cs="Arial"/>
                      <w:b/>
                      <w:sz w:val="18"/>
                      <w:szCs w:val="18"/>
                    </w:rPr>
                  </w:pPr>
                  <w:r w:rsidRPr="001658D7">
                    <w:rPr>
                      <w:rFonts w:ascii="Arial" w:hAnsi="Arial" w:cs="Arial"/>
                      <w:b/>
                      <w:sz w:val="18"/>
                      <w:szCs w:val="18"/>
                    </w:rPr>
                    <w:t>12,280</w:t>
                  </w:r>
                </w:p>
              </w:tc>
              <w:tc>
                <w:tcPr>
                  <w:tcW w:w="1276" w:type="dxa"/>
                  <w:tcBorders>
                    <w:top w:val="single" w:sz="4" w:space="0" w:color="auto"/>
                    <w:left w:val="nil"/>
                    <w:bottom w:val="nil"/>
                    <w:right w:val="nil"/>
                  </w:tcBorders>
                </w:tcPr>
                <w:p w:rsidR="00273F9D" w:rsidRPr="001658D7" w:rsidRDefault="00273F9D" w:rsidP="001658D7">
                  <w:pPr>
                    <w:spacing w:before="60" w:after="60"/>
                    <w:jc w:val="right"/>
                    <w:rPr>
                      <w:rFonts w:ascii="Arial" w:hAnsi="Arial" w:cs="Arial"/>
                      <w:b/>
                      <w:sz w:val="18"/>
                      <w:szCs w:val="18"/>
                    </w:rPr>
                  </w:pPr>
                  <w:r w:rsidRPr="001658D7">
                    <w:rPr>
                      <w:rFonts w:ascii="Arial" w:hAnsi="Arial" w:cs="Arial"/>
                      <w:b/>
                      <w:sz w:val="18"/>
                      <w:szCs w:val="18"/>
                    </w:rPr>
                    <w:t>722,575</w:t>
                  </w:r>
                </w:p>
              </w:tc>
              <w:tc>
                <w:tcPr>
                  <w:tcW w:w="1134" w:type="dxa"/>
                  <w:tcBorders>
                    <w:top w:val="single" w:sz="4" w:space="0" w:color="auto"/>
                    <w:left w:val="nil"/>
                    <w:bottom w:val="nil"/>
                    <w:right w:val="single" w:sz="4" w:space="0" w:color="auto"/>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b/>
                      <w:sz w:val="18"/>
                      <w:szCs w:val="18"/>
                    </w:rPr>
                    <w:t>4.9%</w:t>
                  </w:r>
                </w:p>
              </w:tc>
              <w:tc>
                <w:tcPr>
                  <w:tcW w:w="1134" w:type="dxa"/>
                  <w:tcBorders>
                    <w:top w:val="single" w:sz="4" w:space="0" w:color="auto"/>
                    <w:left w:val="single" w:sz="4" w:space="0" w:color="auto"/>
                    <w:bottom w:val="nil"/>
                    <w:right w:val="nil"/>
                  </w:tcBorders>
                </w:tcPr>
                <w:p w:rsidR="00273F9D" w:rsidRPr="001658D7" w:rsidRDefault="00273F9D" w:rsidP="001658D7">
                  <w:pPr>
                    <w:spacing w:before="60" w:after="60"/>
                    <w:jc w:val="right"/>
                    <w:rPr>
                      <w:rFonts w:ascii="Arial" w:hAnsi="Arial" w:cs="Arial"/>
                      <w:b/>
                      <w:sz w:val="18"/>
                      <w:szCs w:val="18"/>
                    </w:rPr>
                  </w:pPr>
                  <w:r w:rsidRPr="001658D7">
                    <w:rPr>
                      <w:rFonts w:ascii="Arial" w:hAnsi="Arial" w:cs="Arial"/>
                      <w:b/>
                      <w:sz w:val="18"/>
                      <w:szCs w:val="18"/>
                    </w:rPr>
                    <w:t>16,813</w:t>
                  </w:r>
                </w:p>
              </w:tc>
              <w:tc>
                <w:tcPr>
                  <w:tcW w:w="1100" w:type="dxa"/>
                  <w:tcBorders>
                    <w:top w:val="single" w:sz="4" w:space="0" w:color="auto"/>
                    <w:left w:val="nil"/>
                    <w:bottom w:val="nil"/>
                    <w:right w:val="single" w:sz="4" w:space="0" w:color="auto"/>
                  </w:tcBorders>
                </w:tcPr>
                <w:p w:rsidR="00273F9D" w:rsidRPr="001658D7" w:rsidRDefault="00273F9D" w:rsidP="001658D7">
                  <w:pPr>
                    <w:spacing w:before="60" w:after="60"/>
                    <w:jc w:val="right"/>
                    <w:rPr>
                      <w:rFonts w:ascii="Arial" w:hAnsi="Arial" w:cs="Arial"/>
                      <w:b/>
                      <w:sz w:val="18"/>
                      <w:szCs w:val="18"/>
                    </w:rPr>
                  </w:pPr>
                  <w:r w:rsidRPr="001658D7">
                    <w:rPr>
                      <w:rFonts w:ascii="Arial" w:hAnsi="Arial" w:cs="Arial"/>
                      <w:b/>
                      <w:sz w:val="18"/>
                      <w:szCs w:val="18"/>
                    </w:rPr>
                    <w:t>200,768</w:t>
                  </w:r>
                </w:p>
              </w:tc>
            </w:tr>
            <w:tr w:rsidR="00273F9D" w:rsidRPr="001658D7" w:rsidTr="00CD1B73">
              <w:trPr>
                <w:trHeight w:val="227"/>
              </w:trPr>
              <w:tc>
                <w:tcPr>
                  <w:tcW w:w="2019" w:type="dxa"/>
                  <w:tcBorders>
                    <w:top w:val="nil"/>
                    <w:left w:val="single" w:sz="4" w:space="0" w:color="auto"/>
                    <w:bottom w:val="nil"/>
                    <w:right w:val="single" w:sz="4" w:space="0" w:color="auto"/>
                  </w:tcBorders>
                </w:tcPr>
                <w:p w:rsidR="00273F9D" w:rsidRPr="001658D7" w:rsidRDefault="00273F9D" w:rsidP="001658D7">
                  <w:pPr>
                    <w:spacing w:before="60" w:after="60"/>
                    <w:rPr>
                      <w:rFonts w:ascii="Arial" w:hAnsi="Arial" w:cs="Arial"/>
                      <w:sz w:val="18"/>
                      <w:szCs w:val="18"/>
                    </w:rPr>
                  </w:pPr>
                  <w:r w:rsidRPr="001658D7">
                    <w:rPr>
                      <w:rFonts w:ascii="Arial" w:hAnsi="Arial" w:cs="Arial"/>
                      <w:sz w:val="18"/>
                      <w:szCs w:val="18"/>
                    </w:rPr>
                    <w:t>Kimpton acquisition</w:t>
                  </w:r>
                </w:p>
              </w:tc>
              <w:tc>
                <w:tcPr>
                  <w:tcW w:w="1275" w:type="dxa"/>
                  <w:tcBorders>
                    <w:top w:val="nil"/>
                    <w:left w:val="single" w:sz="4" w:space="0" w:color="auto"/>
                    <w:bottom w:val="nil"/>
                    <w:right w:val="nil"/>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sz w:val="18"/>
                      <w:szCs w:val="18"/>
                    </w:rPr>
                    <w:t>11,3</w:t>
                  </w:r>
                  <w:r w:rsidR="00825511" w:rsidRPr="001658D7">
                    <w:rPr>
                      <w:rFonts w:ascii="Arial" w:hAnsi="Arial" w:cs="Arial"/>
                      <w:sz w:val="18"/>
                      <w:szCs w:val="18"/>
                    </w:rPr>
                    <w:t>25</w:t>
                  </w:r>
                </w:p>
              </w:tc>
              <w:tc>
                <w:tcPr>
                  <w:tcW w:w="1276" w:type="dxa"/>
                  <w:tcBorders>
                    <w:top w:val="nil"/>
                    <w:left w:val="nil"/>
                    <w:bottom w:val="nil"/>
                    <w:right w:val="nil"/>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sz w:val="18"/>
                      <w:szCs w:val="18"/>
                    </w:rPr>
                    <w:t>-</w:t>
                  </w:r>
                </w:p>
              </w:tc>
              <w:tc>
                <w:tcPr>
                  <w:tcW w:w="1276" w:type="dxa"/>
                  <w:tcBorders>
                    <w:top w:val="nil"/>
                    <w:left w:val="nil"/>
                    <w:bottom w:val="nil"/>
                    <w:right w:val="nil"/>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sz w:val="18"/>
                      <w:szCs w:val="18"/>
                    </w:rPr>
                    <w:t>11,3</w:t>
                  </w:r>
                  <w:r w:rsidR="00825511" w:rsidRPr="001658D7">
                    <w:rPr>
                      <w:rFonts w:ascii="Arial" w:hAnsi="Arial" w:cs="Arial"/>
                      <w:sz w:val="18"/>
                      <w:szCs w:val="18"/>
                    </w:rPr>
                    <w:t>25</w:t>
                  </w:r>
                </w:p>
              </w:tc>
              <w:tc>
                <w:tcPr>
                  <w:tcW w:w="1276" w:type="dxa"/>
                  <w:tcBorders>
                    <w:top w:val="nil"/>
                    <w:left w:val="nil"/>
                    <w:bottom w:val="nil"/>
                    <w:right w:val="nil"/>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sz w:val="18"/>
                      <w:szCs w:val="18"/>
                    </w:rPr>
                    <w:t>11,3</w:t>
                  </w:r>
                  <w:r w:rsidR="00825511" w:rsidRPr="001658D7">
                    <w:rPr>
                      <w:rFonts w:ascii="Arial" w:hAnsi="Arial" w:cs="Arial"/>
                      <w:sz w:val="18"/>
                      <w:szCs w:val="18"/>
                    </w:rPr>
                    <w:t>25</w:t>
                  </w:r>
                </w:p>
              </w:tc>
              <w:tc>
                <w:tcPr>
                  <w:tcW w:w="1134" w:type="dxa"/>
                  <w:tcBorders>
                    <w:top w:val="nil"/>
                    <w:left w:val="nil"/>
                    <w:bottom w:val="nil"/>
                    <w:right w:val="single" w:sz="4" w:space="0" w:color="auto"/>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sz w:val="18"/>
                      <w:szCs w:val="18"/>
                    </w:rPr>
                    <w:t>-</w:t>
                  </w:r>
                </w:p>
              </w:tc>
              <w:tc>
                <w:tcPr>
                  <w:tcW w:w="1134" w:type="dxa"/>
                  <w:tcBorders>
                    <w:top w:val="nil"/>
                    <w:left w:val="single" w:sz="4" w:space="0" w:color="auto"/>
                    <w:bottom w:val="nil"/>
                    <w:right w:val="nil"/>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sz w:val="18"/>
                      <w:szCs w:val="18"/>
                    </w:rPr>
                    <w:t>2,603</w:t>
                  </w:r>
                </w:p>
              </w:tc>
              <w:tc>
                <w:tcPr>
                  <w:tcW w:w="1100" w:type="dxa"/>
                  <w:tcBorders>
                    <w:top w:val="nil"/>
                    <w:left w:val="nil"/>
                    <w:bottom w:val="nil"/>
                    <w:right w:val="single" w:sz="4" w:space="0" w:color="auto"/>
                  </w:tcBorders>
                </w:tcPr>
                <w:p w:rsidR="00273F9D" w:rsidRPr="001658D7" w:rsidRDefault="00273F9D" w:rsidP="001658D7">
                  <w:pPr>
                    <w:spacing w:before="60" w:after="60"/>
                    <w:jc w:val="right"/>
                    <w:rPr>
                      <w:rFonts w:ascii="Arial" w:hAnsi="Arial" w:cs="Arial"/>
                      <w:sz w:val="18"/>
                      <w:szCs w:val="18"/>
                    </w:rPr>
                  </w:pPr>
                  <w:r w:rsidRPr="001658D7">
                    <w:rPr>
                      <w:rFonts w:ascii="Arial" w:hAnsi="Arial" w:cs="Arial"/>
                      <w:sz w:val="18"/>
                      <w:szCs w:val="18"/>
                    </w:rPr>
                    <w:t>2,603</w:t>
                  </w:r>
                </w:p>
              </w:tc>
            </w:tr>
            <w:tr w:rsidR="00BC5515" w:rsidRPr="001658D7" w:rsidTr="00CD1B73">
              <w:trPr>
                <w:trHeight w:val="227"/>
              </w:trPr>
              <w:tc>
                <w:tcPr>
                  <w:tcW w:w="2019" w:type="dxa"/>
                  <w:tcBorders>
                    <w:top w:val="nil"/>
                    <w:left w:val="single" w:sz="4" w:space="0" w:color="auto"/>
                    <w:bottom w:val="nil"/>
                    <w:right w:val="single" w:sz="4" w:space="0" w:color="auto"/>
                  </w:tcBorders>
                </w:tcPr>
                <w:p w:rsidR="00BC5515" w:rsidRPr="001658D7" w:rsidRDefault="00273F9D" w:rsidP="001658D7">
                  <w:pPr>
                    <w:spacing w:before="60" w:after="60"/>
                    <w:rPr>
                      <w:rFonts w:ascii="Arial" w:hAnsi="Arial" w:cs="Arial"/>
                      <w:b/>
                      <w:sz w:val="18"/>
                      <w:szCs w:val="18"/>
                    </w:rPr>
                  </w:pPr>
                  <w:r w:rsidRPr="001658D7">
                    <w:rPr>
                      <w:rFonts w:ascii="Arial" w:hAnsi="Arial" w:cs="Arial"/>
                      <w:b/>
                      <w:sz w:val="18"/>
                      <w:szCs w:val="18"/>
                    </w:rPr>
                    <w:t xml:space="preserve">Underlying </w:t>
                  </w:r>
                  <w:r w:rsidR="00BC5515" w:rsidRPr="001658D7">
                    <w:rPr>
                      <w:rFonts w:ascii="Arial" w:hAnsi="Arial" w:cs="Arial"/>
                      <w:b/>
                      <w:sz w:val="18"/>
                      <w:szCs w:val="18"/>
                    </w:rPr>
                    <w:t>Group</w:t>
                  </w:r>
                  <w:r w:rsidRPr="001658D7">
                    <w:rPr>
                      <w:rFonts w:ascii="Arial" w:hAnsi="Arial"/>
                      <w:b/>
                      <w:sz w:val="18"/>
                      <w:szCs w:val="18"/>
                    </w:rPr>
                    <w:t>*</w:t>
                  </w:r>
                </w:p>
              </w:tc>
              <w:tc>
                <w:tcPr>
                  <w:tcW w:w="1275" w:type="dxa"/>
                  <w:tcBorders>
                    <w:top w:val="nil"/>
                    <w:left w:val="single" w:sz="4" w:space="0" w:color="auto"/>
                    <w:bottom w:val="nil"/>
                    <w:right w:val="nil"/>
                  </w:tcBorders>
                </w:tcPr>
                <w:p w:rsidR="00BC5515" w:rsidRPr="001658D7" w:rsidRDefault="00273F9D" w:rsidP="001658D7">
                  <w:pPr>
                    <w:spacing w:before="60" w:after="60"/>
                    <w:jc w:val="right"/>
                    <w:rPr>
                      <w:rFonts w:ascii="Arial" w:hAnsi="Arial" w:cs="Arial"/>
                      <w:b/>
                      <w:sz w:val="18"/>
                      <w:szCs w:val="18"/>
                    </w:rPr>
                  </w:pPr>
                  <w:r w:rsidRPr="001658D7">
                    <w:rPr>
                      <w:rFonts w:ascii="Arial" w:hAnsi="Arial" w:cs="Arial"/>
                      <w:b/>
                      <w:sz w:val="18"/>
                      <w:szCs w:val="18"/>
                    </w:rPr>
                    <w:t>7,42</w:t>
                  </w:r>
                  <w:r w:rsidR="00825511" w:rsidRPr="001658D7">
                    <w:rPr>
                      <w:rFonts w:ascii="Arial" w:hAnsi="Arial" w:cs="Arial"/>
                      <w:b/>
                      <w:sz w:val="18"/>
                      <w:szCs w:val="18"/>
                    </w:rPr>
                    <w:t>2</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b/>
                      <w:sz w:val="18"/>
                      <w:szCs w:val="18"/>
                    </w:rPr>
                  </w:pPr>
                  <w:r w:rsidRPr="001658D7">
                    <w:rPr>
                      <w:rFonts w:ascii="Arial" w:hAnsi="Arial" w:cs="Arial"/>
                      <w:b/>
                      <w:sz w:val="18"/>
                      <w:szCs w:val="18"/>
                    </w:rPr>
                    <w:t>(6,467)</w:t>
                  </w:r>
                </w:p>
              </w:tc>
              <w:tc>
                <w:tcPr>
                  <w:tcW w:w="1276" w:type="dxa"/>
                  <w:tcBorders>
                    <w:top w:val="nil"/>
                    <w:left w:val="nil"/>
                    <w:bottom w:val="nil"/>
                    <w:right w:val="nil"/>
                  </w:tcBorders>
                </w:tcPr>
                <w:p w:rsidR="00BC5515" w:rsidRPr="001658D7" w:rsidRDefault="00CD1B73" w:rsidP="001658D7">
                  <w:pPr>
                    <w:spacing w:before="60" w:after="60"/>
                    <w:jc w:val="right"/>
                    <w:rPr>
                      <w:rFonts w:ascii="Arial" w:hAnsi="Arial" w:cs="Arial"/>
                      <w:b/>
                      <w:sz w:val="18"/>
                      <w:szCs w:val="18"/>
                    </w:rPr>
                  </w:pPr>
                  <w:r w:rsidRPr="001658D7">
                    <w:rPr>
                      <w:rFonts w:ascii="Arial" w:hAnsi="Arial" w:cs="Arial"/>
                      <w:b/>
                      <w:sz w:val="18"/>
                      <w:szCs w:val="18"/>
                    </w:rPr>
                    <w:t>9</w:t>
                  </w:r>
                  <w:r w:rsidR="00825511" w:rsidRPr="001658D7">
                    <w:rPr>
                      <w:rFonts w:ascii="Arial" w:hAnsi="Arial" w:cs="Arial"/>
                      <w:b/>
                      <w:sz w:val="18"/>
                      <w:szCs w:val="18"/>
                    </w:rPr>
                    <w:t>55</w:t>
                  </w:r>
                </w:p>
              </w:tc>
              <w:tc>
                <w:tcPr>
                  <w:tcW w:w="1276" w:type="dxa"/>
                  <w:tcBorders>
                    <w:top w:val="nil"/>
                    <w:left w:val="nil"/>
                    <w:bottom w:val="nil"/>
                    <w:right w:val="nil"/>
                  </w:tcBorders>
                </w:tcPr>
                <w:p w:rsidR="00BC5515" w:rsidRPr="001658D7" w:rsidRDefault="00CD1B73" w:rsidP="001658D7">
                  <w:pPr>
                    <w:spacing w:before="60" w:after="60"/>
                    <w:jc w:val="right"/>
                    <w:rPr>
                      <w:rFonts w:ascii="Arial" w:hAnsi="Arial" w:cs="Arial"/>
                      <w:b/>
                      <w:sz w:val="18"/>
                      <w:szCs w:val="18"/>
                    </w:rPr>
                  </w:pPr>
                  <w:r w:rsidRPr="001658D7">
                    <w:rPr>
                      <w:rFonts w:ascii="Arial" w:hAnsi="Arial" w:cs="Arial"/>
                      <w:b/>
                      <w:sz w:val="18"/>
                      <w:szCs w:val="18"/>
                    </w:rPr>
                    <w:t>711,25</w:t>
                  </w:r>
                  <w:r w:rsidR="00825511" w:rsidRPr="001658D7">
                    <w:rPr>
                      <w:rFonts w:ascii="Arial" w:hAnsi="Arial" w:cs="Arial"/>
                      <w:b/>
                      <w:sz w:val="18"/>
                      <w:szCs w:val="18"/>
                    </w:rPr>
                    <w:t>0</w:t>
                  </w:r>
                </w:p>
              </w:tc>
              <w:tc>
                <w:tcPr>
                  <w:tcW w:w="1134" w:type="dxa"/>
                  <w:tcBorders>
                    <w:top w:val="nil"/>
                    <w:left w:val="nil"/>
                    <w:bottom w:val="nil"/>
                    <w:right w:val="single" w:sz="4" w:space="0" w:color="auto"/>
                  </w:tcBorders>
                </w:tcPr>
                <w:p w:rsidR="00BC5515" w:rsidRPr="001658D7" w:rsidRDefault="00CD1B73" w:rsidP="001658D7">
                  <w:pPr>
                    <w:spacing w:before="60" w:after="60"/>
                    <w:jc w:val="right"/>
                    <w:rPr>
                      <w:rFonts w:ascii="Arial" w:hAnsi="Arial" w:cs="Arial"/>
                      <w:sz w:val="18"/>
                      <w:szCs w:val="18"/>
                    </w:rPr>
                  </w:pPr>
                  <w:r w:rsidRPr="001658D7">
                    <w:rPr>
                      <w:rFonts w:ascii="Arial" w:hAnsi="Arial" w:cs="Arial"/>
                      <w:b/>
                      <w:sz w:val="18"/>
                      <w:szCs w:val="18"/>
                    </w:rPr>
                    <w:t>3.3</w:t>
                  </w:r>
                  <w:r w:rsidR="00BC5515" w:rsidRPr="001658D7">
                    <w:rPr>
                      <w:rFonts w:ascii="Arial" w:hAnsi="Arial" w:cs="Arial"/>
                      <w:b/>
                      <w:sz w:val="18"/>
                      <w:szCs w:val="18"/>
                    </w:rPr>
                    <w:t>%</w:t>
                  </w:r>
                </w:p>
              </w:tc>
              <w:tc>
                <w:tcPr>
                  <w:tcW w:w="1134" w:type="dxa"/>
                  <w:tcBorders>
                    <w:top w:val="nil"/>
                    <w:left w:val="single" w:sz="4" w:space="0" w:color="auto"/>
                    <w:bottom w:val="nil"/>
                    <w:right w:val="nil"/>
                  </w:tcBorders>
                </w:tcPr>
                <w:p w:rsidR="00BC5515" w:rsidRPr="001658D7" w:rsidRDefault="00CD1B73" w:rsidP="001658D7">
                  <w:pPr>
                    <w:spacing w:before="60" w:after="60"/>
                    <w:jc w:val="right"/>
                    <w:rPr>
                      <w:rFonts w:ascii="Arial" w:hAnsi="Arial" w:cs="Arial"/>
                      <w:b/>
                      <w:sz w:val="18"/>
                      <w:szCs w:val="18"/>
                    </w:rPr>
                  </w:pPr>
                  <w:r w:rsidRPr="001658D7">
                    <w:rPr>
                      <w:rFonts w:ascii="Arial" w:hAnsi="Arial" w:cs="Arial"/>
                      <w:b/>
                      <w:sz w:val="18"/>
                      <w:szCs w:val="18"/>
                    </w:rPr>
                    <w:t>14,210</w:t>
                  </w:r>
                </w:p>
              </w:tc>
              <w:tc>
                <w:tcPr>
                  <w:tcW w:w="1100" w:type="dxa"/>
                  <w:tcBorders>
                    <w:top w:val="nil"/>
                    <w:left w:val="nil"/>
                    <w:bottom w:val="nil"/>
                    <w:right w:val="single" w:sz="4" w:space="0" w:color="auto"/>
                  </w:tcBorders>
                </w:tcPr>
                <w:p w:rsidR="00BC5515" w:rsidRPr="001658D7" w:rsidRDefault="00CD1B73" w:rsidP="001658D7">
                  <w:pPr>
                    <w:spacing w:before="60" w:after="60"/>
                    <w:jc w:val="right"/>
                    <w:rPr>
                      <w:rFonts w:ascii="Arial" w:hAnsi="Arial" w:cs="Arial"/>
                      <w:b/>
                      <w:sz w:val="18"/>
                      <w:szCs w:val="18"/>
                    </w:rPr>
                  </w:pPr>
                  <w:r w:rsidRPr="001658D7">
                    <w:rPr>
                      <w:rFonts w:ascii="Arial" w:hAnsi="Arial" w:cs="Arial"/>
                      <w:b/>
                      <w:sz w:val="18"/>
                      <w:szCs w:val="18"/>
                    </w:rPr>
                    <w:t>198,165</w:t>
                  </w:r>
                </w:p>
              </w:tc>
            </w:tr>
            <w:tr w:rsidR="00BC5515" w:rsidRPr="001658D7" w:rsidTr="00CD1B73">
              <w:trPr>
                <w:trHeight w:val="227"/>
              </w:trPr>
              <w:tc>
                <w:tcPr>
                  <w:tcW w:w="2019" w:type="dxa"/>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Americas</w:t>
                  </w:r>
                  <w:r w:rsidR="00CD1B73" w:rsidRPr="001658D7">
                    <w:rPr>
                      <w:rFonts w:ascii="Arial" w:hAnsi="Arial" w:cs="Arial"/>
                      <w:sz w:val="18"/>
                      <w:szCs w:val="18"/>
                    </w:rPr>
                    <w:t>*</w:t>
                  </w:r>
                </w:p>
              </w:tc>
              <w:tc>
                <w:tcPr>
                  <w:tcW w:w="1275" w:type="dxa"/>
                  <w:tcBorders>
                    <w:top w:val="nil"/>
                    <w:left w:val="single" w:sz="4" w:space="0" w:color="auto"/>
                    <w:bottom w:val="nil"/>
                    <w:right w:val="nil"/>
                  </w:tcBorders>
                </w:tcPr>
                <w:p w:rsidR="00BC5515" w:rsidRPr="001658D7" w:rsidRDefault="00CD1B73" w:rsidP="001658D7">
                  <w:pPr>
                    <w:spacing w:before="60" w:after="60"/>
                    <w:jc w:val="right"/>
                    <w:rPr>
                      <w:rFonts w:ascii="Arial" w:hAnsi="Arial" w:cs="Arial"/>
                      <w:sz w:val="18"/>
                      <w:szCs w:val="18"/>
                    </w:rPr>
                  </w:pPr>
                  <w:r w:rsidRPr="001658D7">
                    <w:rPr>
                      <w:rFonts w:ascii="Arial" w:hAnsi="Arial" w:cs="Arial"/>
                      <w:sz w:val="18"/>
                      <w:szCs w:val="18"/>
                    </w:rPr>
                    <w:t>4,52</w:t>
                  </w:r>
                  <w:r w:rsidR="00825511" w:rsidRPr="001658D7">
                    <w:rPr>
                      <w:rFonts w:ascii="Arial" w:hAnsi="Arial" w:cs="Arial"/>
                      <w:sz w:val="18"/>
                      <w:szCs w:val="18"/>
                    </w:rPr>
                    <w:t>2</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(3,007)</w:t>
                  </w:r>
                </w:p>
              </w:tc>
              <w:tc>
                <w:tcPr>
                  <w:tcW w:w="1276" w:type="dxa"/>
                  <w:tcBorders>
                    <w:top w:val="nil"/>
                    <w:left w:val="nil"/>
                    <w:bottom w:val="nil"/>
                    <w:right w:val="nil"/>
                  </w:tcBorders>
                </w:tcPr>
                <w:p w:rsidR="00BC5515" w:rsidRPr="001658D7" w:rsidRDefault="00CD1B73" w:rsidP="001658D7">
                  <w:pPr>
                    <w:spacing w:before="60" w:after="60"/>
                    <w:jc w:val="right"/>
                    <w:rPr>
                      <w:rFonts w:ascii="Arial" w:hAnsi="Arial" w:cs="Arial"/>
                      <w:sz w:val="18"/>
                      <w:szCs w:val="18"/>
                    </w:rPr>
                  </w:pPr>
                  <w:r w:rsidRPr="001658D7">
                    <w:rPr>
                      <w:rFonts w:ascii="Arial" w:hAnsi="Arial" w:cs="Arial"/>
                      <w:sz w:val="18"/>
                      <w:szCs w:val="18"/>
                    </w:rPr>
                    <w:t>1,5</w:t>
                  </w:r>
                  <w:r w:rsidR="00825511" w:rsidRPr="001658D7">
                    <w:rPr>
                      <w:rFonts w:ascii="Arial" w:hAnsi="Arial" w:cs="Arial"/>
                      <w:sz w:val="18"/>
                      <w:szCs w:val="18"/>
                    </w:rPr>
                    <w:t>15</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4</w:t>
                  </w:r>
                  <w:r w:rsidR="00CD1B73" w:rsidRPr="001658D7">
                    <w:rPr>
                      <w:rFonts w:ascii="Arial" w:hAnsi="Arial" w:cs="Arial"/>
                      <w:sz w:val="18"/>
                      <w:szCs w:val="18"/>
                    </w:rPr>
                    <w:t>61,53</w:t>
                  </w:r>
                  <w:r w:rsidR="00825511" w:rsidRPr="001658D7">
                    <w:rPr>
                      <w:rFonts w:ascii="Arial" w:hAnsi="Arial" w:cs="Arial"/>
                      <w:sz w:val="18"/>
                      <w:szCs w:val="18"/>
                    </w:rPr>
                    <w:t>2</w:t>
                  </w:r>
                </w:p>
              </w:tc>
              <w:tc>
                <w:tcPr>
                  <w:tcW w:w="1134" w:type="dxa"/>
                  <w:tcBorders>
                    <w:top w:val="nil"/>
                    <w:left w:val="nil"/>
                    <w:bottom w:val="nil"/>
                    <w:right w:val="single" w:sz="4" w:space="0" w:color="auto"/>
                  </w:tcBorders>
                </w:tcPr>
                <w:p w:rsidR="00BC5515" w:rsidRPr="001658D7" w:rsidRDefault="00CD1B73" w:rsidP="001658D7">
                  <w:pPr>
                    <w:spacing w:before="60" w:after="60"/>
                    <w:jc w:val="right"/>
                    <w:rPr>
                      <w:rFonts w:ascii="Arial" w:hAnsi="Arial" w:cs="Arial"/>
                      <w:sz w:val="18"/>
                      <w:szCs w:val="18"/>
                    </w:rPr>
                  </w:pPr>
                  <w:r w:rsidRPr="001658D7">
                    <w:rPr>
                      <w:rFonts w:ascii="Arial" w:hAnsi="Arial" w:cs="Arial"/>
                      <w:sz w:val="18"/>
                      <w:szCs w:val="18"/>
                    </w:rPr>
                    <w:t>2.5</w:t>
                  </w:r>
                  <w:r w:rsidR="00BC5515" w:rsidRPr="001658D7">
                    <w:rPr>
                      <w:rFonts w:ascii="Arial" w:hAnsi="Arial" w:cs="Arial"/>
                      <w:sz w:val="18"/>
                      <w:szCs w:val="18"/>
                    </w:rPr>
                    <w:t>%</w:t>
                  </w:r>
                </w:p>
              </w:tc>
              <w:tc>
                <w:tcPr>
                  <w:tcW w:w="1134" w:type="dxa"/>
                  <w:tcBorders>
                    <w:top w:val="nil"/>
                    <w:left w:val="single" w:sz="4" w:space="0" w:color="auto"/>
                    <w:bottom w:val="nil"/>
                    <w:right w:val="nil"/>
                  </w:tcBorders>
                </w:tcPr>
                <w:p w:rsidR="00BC5515" w:rsidRPr="001658D7" w:rsidRDefault="00CD1B73" w:rsidP="001658D7">
                  <w:pPr>
                    <w:spacing w:before="60" w:after="60"/>
                    <w:jc w:val="right"/>
                    <w:rPr>
                      <w:rFonts w:ascii="Arial" w:hAnsi="Arial" w:cs="Arial"/>
                      <w:sz w:val="18"/>
                      <w:szCs w:val="18"/>
                    </w:rPr>
                  </w:pPr>
                  <w:r w:rsidRPr="001658D7">
                    <w:rPr>
                      <w:rFonts w:ascii="Arial" w:hAnsi="Arial" w:cs="Arial"/>
                      <w:sz w:val="18"/>
                      <w:szCs w:val="18"/>
                    </w:rPr>
                    <w:t>8,878</w:t>
                  </w:r>
                </w:p>
              </w:tc>
              <w:tc>
                <w:tcPr>
                  <w:tcW w:w="1100" w:type="dxa"/>
                  <w:tcBorders>
                    <w:top w:val="nil"/>
                    <w:left w:val="nil"/>
                    <w:bottom w:val="nil"/>
                    <w:right w:val="single" w:sz="4" w:space="0" w:color="auto"/>
                  </w:tcBorders>
                </w:tcPr>
                <w:p w:rsidR="00BC5515" w:rsidRPr="001658D7" w:rsidRDefault="00CD1B73" w:rsidP="001658D7">
                  <w:pPr>
                    <w:spacing w:before="60" w:after="60"/>
                    <w:jc w:val="right"/>
                    <w:rPr>
                      <w:rFonts w:ascii="Arial" w:hAnsi="Arial" w:cs="Arial"/>
                      <w:sz w:val="18"/>
                      <w:szCs w:val="18"/>
                    </w:rPr>
                  </w:pPr>
                  <w:r w:rsidRPr="001658D7">
                    <w:rPr>
                      <w:rFonts w:ascii="Arial" w:hAnsi="Arial" w:cs="Arial"/>
                      <w:sz w:val="18"/>
                      <w:szCs w:val="18"/>
                    </w:rPr>
                    <w:t>89,131</w:t>
                  </w:r>
                </w:p>
              </w:tc>
            </w:tr>
            <w:tr w:rsidR="00BC5515" w:rsidRPr="001658D7" w:rsidTr="00CD1B73">
              <w:trPr>
                <w:trHeight w:val="227"/>
              </w:trPr>
              <w:tc>
                <w:tcPr>
                  <w:tcW w:w="2019" w:type="dxa"/>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Europe</w:t>
                  </w:r>
                </w:p>
              </w:tc>
              <w:tc>
                <w:tcPr>
                  <w:tcW w:w="1275" w:type="dxa"/>
                  <w:tcBorders>
                    <w:top w:val="nil"/>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1,047</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(977)</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70</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104,278</w:t>
                  </w:r>
                </w:p>
              </w:tc>
              <w:tc>
                <w:tcPr>
                  <w:tcW w:w="1134" w:type="dxa"/>
                  <w:tcBorders>
                    <w:top w:val="nil"/>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2.5%</w:t>
                  </w:r>
                </w:p>
              </w:tc>
              <w:tc>
                <w:tcPr>
                  <w:tcW w:w="1134" w:type="dxa"/>
                  <w:tcBorders>
                    <w:top w:val="nil"/>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583</w:t>
                  </w:r>
                </w:p>
              </w:tc>
              <w:tc>
                <w:tcPr>
                  <w:tcW w:w="1100" w:type="dxa"/>
                  <w:tcBorders>
                    <w:top w:val="nil"/>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18,426</w:t>
                  </w:r>
                </w:p>
              </w:tc>
            </w:tr>
            <w:tr w:rsidR="00BC5515" w:rsidRPr="001658D7" w:rsidTr="00CD1B73">
              <w:trPr>
                <w:trHeight w:val="227"/>
              </w:trPr>
              <w:tc>
                <w:tcPr>
                  <w:tcW w:w="2019" w:type="dxa"/>
                  <w:tcBorders>
                    <w:top w:val="nil"/>
                    <w:left w:val="single" w:sz="4" w:space="0" w:color="auto"/>
                    <w:bottom w:val="nil"/>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AMEA</w:t>
                  </w:r>
                </w:p>
              </w:tc>
              <w:tc>
                <w:tcPr>
                  <w:tcW w:w="1275" w:type="dxa"/>
                  <w:tcBorders>
                    <w:top w:val="nil"/>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418</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(1,787)</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(1,369)</w:t>
                  </w:r>
                </w:p>
              </w:tc>
              <w:tc>
                <w:tcPr>
                  <w:tcW w:w="1276" w:type="dxa"/>
                  <w:tcBorders>
                    <w:top w:val="nil"/>
                    <w:left w:val="nil"/>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66,507</w:t>
                  </w:r>
                </w:p>
              </w:tc>
              <w:tc>
                <w:tcPr>
                  <w:tcW w:w="1134" w:type="dxa"/>
                  <w:tcBorders>
                    <w:top w:val="nil"/>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0.4%</w:t>
                  </w:r>
                </w:p>
              </w:tc>
              <w:tc>
                <w:tcPr>
                  <w:tcW w:w="1134" w:type="dxa"/>
                  <w:tcBorders>
                    <w:top w:val="nil"/>
                    <w:left w:val="single" w:sz="4" w:space="0" w:color="auto"/>
                    <w:bottom w:val="nil"/>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1,244</w:t>
                  </w:r>
                </w:p>
              </w:tc>
              <w:tc>
                <w:tcPr>
                  <w:tcW w:w="1100" w:type="dxa"/>
                  <w:tcBorders>
                    <w:top w:val="nil"/>
                    <w:left w:val="nil"/>
                    <w:bottom w:val="nil"/>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35,138</w:t>
                  </w:r>
                </w:p>
              </w:tc>
            </w:tr>
            <w:tr w:rsidR="00BC5515" w:rsidRPr="001658D7" w:rsidTr="00CD1B73">
              <w:trPr>
                <w:trHeight w:val="227"/>
              </w:trPr>
              <w:tc>
                <w:tcPr>
                  <w:tcW w:w="2019" w:type="dxa"/>
                  <w:tcBorders>
                    <w:top w:val="nil"/>
                    <w:left w:val="single" w:sz="4" w:space="0" w:color="auto"/>
                    <w:bottom w:val="single" w:sz="4" w:space="0" w:color="auto"/>
                    <w:right w:val="single" w:sz="4" w:space="0" w:color="auto"/>
                  </w:tcBorders>
                </w:tcPr>
                <w:p w:rsidR="00BC5515" w:rsidRPr="001658D7" w:rsidRDefault="00BC5515" w:rsidP="001658D7">
                  <w:pPr>
                    <w:spacing w:before="60" w:after="60"/>
                    <w:rPr>
                      <w:rFonts w:ascii="Arial" w:hAnsi="Arial" w:cs="Arial"/>
                      <w:sz w:val="18"/>
                      <w:szCs w:val="18"/>
                    </w:rPr>
                  </w:pPr>
                  <w:r w:rsidRPr="001658D7">
                    <w:rPr>
                      <w:rFonts w:ascii="Arial" w:hAnsi="Arial" w:cs="Arial"/>
                      <w:sz w:val="18"/>
                      <w:szCs w:val="18"/>
                    </w:rPr>
                    <w:t>G. China</w:t>
                  </w:r>
                </w:p>
              </w:tc>
              <w:tc>
                <w:tcPr>
                  <w:tcW w:w="1275" w:type="dxa"/>
                  <w:tcBorders>
                    <w:top w:val="nil"/>
                    <w:left w:val="single" w:sz="4" w:space="0" w:color="auto"/>
                    <w:bottom w:val="single" w:sz="4" w:space="0" w:color="auto"/>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1,435</w:t>
                  </w:r>
                </w:p>
              </w:tc>
              <w:tc>
                <w:tcPr>
                  <w:tcW w:w="1276" w:type="dxa"/>
                  <w:tcBorders>
                    <w:top w:val="nil"/>
                    <w:left w:val="nil"/>
                    <w:bottom w:val="single" w:sz="4" w:space="0" w:color="auto"/>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(696)</w:t>
                  </w:r>
                </w:p>
              </w:tc>
              <w:tc>
                <w:tcPr>
                  <w:tcW w:w="1276" w:type="dxa"/>
                  <w:tcBorders>
                    <w:top w:val="nil"/>
                    <w:left w:val="nil"/>
                    <w:bottom w:val="single" w:sz="4" w:space="0" w:color="auto"/>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739</w:t>
                  </w:r>
                </w:p>
              </w:tc>
              <w:tc>
                <w:tcPr>
                  <w:tcW w:w="1276" w:type="dxa"/>
                  <w:tcBorders>
                    <w:top w:val="nil"/>
                    <w:left w:val="nil"/>
                    <w:bottom w:val="single" w:sz="4" w:space="0" w:color="auto"/>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78,933</w:t>
                  </w:r>
                </w:p>
              </w:tc>
              <w:tc>
                <w:tcPr>
                  <w:tcW w:w="1134" w:type="dxa"/>
                  <w:tcBorders>
                    <w:top w:val="nil"/>
                    <w:left w:val="nil"/>
                    <w:bottom w:val="single" w:sz="4" w:space="0" w:color="auto"/>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12.7%</w:t>
                  </w:r>
                </w:p>
              </w:tc>
              <w:tc>
                <w:tcPr>
                  <w:tcW w:w="1134" w:type="dxa"/>
                  <w:tcBorders>
                    <w:top w:val="nil"/>
                    <w:left w:val="single" w:sz="4" w:space="0" w:color="auto"/>
                    <w:bottom w:val="single" w:sz="4" w:space="0" w:color="auto"/>
                    <w:right w:val="nil"/>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3,505</w:t>
                  </w:r>
                </w:p>
              </w:tc>
              <w:tc>
                <w:tcPr>
                  <w:tcW w:w="1100" w:type="dxa"/>
                  <w:tcBorders>
                    <w:top w:val="nil"/>
                    <w:left w:val="nil"/>
                    <w:bottom w:val="single" w:sz="4" w:space="0" w:color="auto"/>
                    <w:right w:val="single" w:sz="4" w:space="0" w:color="auto"/>
                  </w:tcBorders>
                </w:tcPr>
                <w:p w:rsidR="00BC5515" w:rsidRPr="001658D7" w:rsidRDefault="00BC5515" w:rsidP="001658D7">
                  <w:pPr>
                    <w:spacing w:before="60" w:after="60"/>
                    <w:jc w:val="right"/>
                    <w:rPr>
                      <w:rFonts w:ascii="Arial" w:hAnsi="Arial" w:cs="Arial"/>
                      <w:sz w:val="18"/>
                      <w:szCs w:val="18"/>
                    </w:rPr>
                  </w:pPr>
                  <w:r w:rsidRPr="001658D7">
                    <w:rPr>
                      <w:rFonts w:ascii="Arial" w:hAnsi="Arial" w:cs="Arial"/>
                      <w:sz w:val="18"/>
                      <w:szCs w:val="18"/>
                    </w:rPr>
                    <w:t>55,470</w:t>
                  </w:r>
                </w:p>
              </w:tc>
            </w:tr>
          </w:tbl>
          <w:p w:rsidR="00273F9D" w:rsidRPr="001658D7" w:rsidRDefault="00273F9D" w:rsidP="001658D7">
            <w:pPr>
              <w:spacing w:before="60" w:after="60"/>
              <w:rPr>
                <w:rFonts w:ascii="Arial" w:hAnsi="Arial" w:cs="Arial"/>
                <w:sz w:val="18"/>
                <w:szCs w:val="18"/>
              </w:rPr>
            </w:pPr>
            <w:r w:rsidRPr="001658D7">
              <w:rPr>
                <w:rFonts w:ascii="Arial" w:hAnsi="Arial" w:cs="Arial"/>
                <w:sz w:val="18"/>
                <w:szCs w:val="18"/>
              </w:rPr>
              <w:t>*Excludes impact of Kimpton acquisition</w:t>
            </w:r>
            <w:r w:rsidRPr="001658D7">
              <w:rPr>
                <w:rFonts w:ascii="Arial" w:hAnsi="Arial" w:cs="Arial"/>
                <w:sz w:val="18"/>
                <w:szCs w:val="18"/>
              </w:rPr>
              <w:br/>
            </w:r>
          </w:p>
          <w:tbl>
            <w:tblPr>
              <w:tblW w:w="10490"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0490"/>
            </w:tblGrid>
            <w:tr w:rsidR="00BC5515" w:rsidRPr="001658D7" w:rsidTr="009D430E">
              <w:tc>
                <w:tcPr>
                  <w:tcW w:w="10490" w:type="dxa"/>
                  <w:tcBorders>
                    <w:top w:val="nil"/>
                    <w:left w:val="nil"/>
                    <w:bottom w:val="single" w:sz="4" w:space="0" w:color="auto"/>
                    <w:right w:val="nil"/>
                  </w:tcBorders>
                  <w:vAlign w:val="center"/>
                </w:tcPr>
                <w:p w:rsidR="00BC5515" w:rsidRPr="001658D7" w:rsidRDefault="00825511" w:rsidP="009D430E">
                  <w:pPr>
                    <w:spacing w:before="60" w:after="60"/>
                    <w:rPr>
                      <w:rFonts w:ascii="Arial" w:hAnsi="Arial" w:cs="Arial"/>
                      <w:b/>
                      <w:sz w:val="18"/>
                      <w:szCs w:val="18"/>
                    </w:rPr>
                  </w:pPr>
                  <w:r w:rsidRPr="001658D7">
                    <w:rPr>
                      <w:rFonts w:ascii="Arial" w:hAnsi="Arial" w:cs="Arial"/>
                      <w:b/>
                      <w:sz w:val="18"/>
                      <w:szCs w:val="18"/>
                    </w:rPr>
                    <w:t>Appendix 4</w:t>
                  </w:r>
                  <w:r w:rsidR="00BC5515" w:rsidRPr="001658D7">
                    <w:rPr>
                      <w:rFonts w:ascii="Arial" w:hAnsi="Arial" w:cs="Arial"/>
                      <w:b/>
                      <w:sz w:val="18"/>
                      <w:szCs w:val="18"/>
                    </w:rPr>
                    <w:t>: Definitions</w:t>
                  </w:r>
                </w:p>
              </w:tc>
            </w:tr>
            <w:tr w:rsidR="00BC5515" w:rsidRPr="001658D7" w:rsidTr="009D430E">
              <w:tblPrEx>
                <w:tblBorders>
                  <w:top w:val="single" w:sz="4" w:space="0" w:color="auto"/>
                  <w:left w:val="single" w:sz="4" w:space="0" w:color="auto"/>
                  <w:bottom w:val="single" w:sz="4" w:space="0" w:color="auto"/>
                  <w:right w:val="single" w:sz="4" w:space="0" w:color="auto"/>
                </w:tblBorders>
              </w:tblPrEx>
              <w:trPr>
                <w:trHeight w:val="393"/>
              </w:trPr>
              <w:tc>
                <w:tcPr>
                  <w:tcW w:w="10490" w:type="dxa"/>
                  <w:tcBorders>
                    <w:bottom w:val="single" w:sz="4" w:space="0" w:color="auto"/>
                  </w:tcBorders>
                </w:tcPr>
                <w:p w:rsidR="00A351E6" w:rsidRDefault="00A351E6" w:rsidP="009D430E">
                  <w:pPr>
                    <w:spacing w:before="60" w:after="60"/>
                    <w:rPr>
                      <w:rFonts w:ascii="Arial" w:hAnsi="Arial" w:cs="Arial"/>
                      <w:b/>
                      <w:sz w:val="18"/>
                      <w:szCs w:val="18"/>
                    </w:rPr>
                  </w:pPr>
                  <w:r w:rsidRPr="003F4A19">
                    <w:rPr>
                      <w:rFonts w:ascii="Arial" w:hAnsi="Arial" w:cs="Arial"/>
                      <w:b/>
                      <w:sz w:val="18"/>
                      <w:szCs w:val="18"/>
                    </w:rPr>
                    <w:t xml:space="preserve">AER: </w:t>
                  </w:r>
                  <w:r w:rsidRPr="003F4A19">
                    <w:rPr>
                      <w:rFonts w:ascii="Arial" w:hAnsi="Arial" w:cs="Arial"/>
                      <w:sz w:val="18"/>
                      <w:szCs w:val="18"/>
                    </w:rPr>
                    <w:t>Actual exchange rates</w:t>
                  </w:r>
                  <w:r>
                    <w:rPr>
                      <w:rFonts w:ascii="Arial" w:hAnsi="Arial" w:cs="Arial"/>
                      <w:sz w:val="18"/>
                      <w:szCs w:val="18"/>
                    </w:rPr>
                    <w:t xml:space="preserve"> used for each respective period</w:t>
                  </w:r>
                  <w:r w:rsidRPr="003F4A19">
                    <w:rPr>
                      <w:rFonts w:ascii="Arial" w:hAnsi="Arial" w:cs="Arial"/>
                      <w:sz w:val="18"/>
                      <w:szCs w:val="18"/>
                    </w:rPr>
                    <w:t>.</w:t>
                  </w:r>
                </w:p>
                <w:p w:rsidR="00A351E6" w:rsidRPr="00A351E6" w:rsidRDefault="00A351E6" w:rsidP="009D430E">
                  <w:pPr>
                    <w:spacing w:before="60" w:after="60"/>
                    <w:rPr>
                      <w:rFonts w:ascii="Arial" w:hAnsi="Arial" w:cs="Arial"/>
                      <w:sz w:val="18"/>
                      <w:szCs w:val="18"/>
                    </w:rPr>
                  </w:pPr>
                  <w:r w:rsidRPr="003F4A19">
                    <w:rPr>
                      <w:rFonts w:ascii="Arial" w:hAnsi="Arial" w:cs="Arial"/>
                      <w:b/>
                      <w:sz w:val="18"/>
                      <w:szCs w:val="18"/>
                    </w:rPr>
                    <w:t xml:space="preserve">CER: </w:t>
                  </w:r>
                  <w:r w:rsidRPr="003F4A19">
                    <w:rPr>
                      <w:rFonts w:ascii="Arial" w:hAnsi="Arial" w:cs="Arial"/>
                      <w:sz w:val="18"/>
                      <w:szCs w:val="18"/>
                    </w:rPr>
                    <w:t>Constant exchange rates.</w:t>
                  </w:r>
                </w:p>
                <w:p w:rsidR="003F4A19" w:rsidRPr="00A351E6" w:rsidRDefault="00BC5515" w:rsidP="00A351E6">
                  <w:pPr>
                    <w:spacing w:before="60" w:after="60"/>
                    <w:rPr>
                      <w:rFonts w:ascii="Arial" w:hAnsi="Arial" w:cs="Arial"/>
                      <w:sz w:val="18"/>
                      <w:szCs w:val="18"/>
                    </w:rPr>
                  </w:pPr>
                  <w:r w:rsidRPr="001658D7">
                    <w:rPr>
                      <w:rFonts w:ascii="Arial" w:hAnsi="Arial" w:cs="Arial"/>
                      <w:b/>
                      <w:sz w:val="18"/>
                      <w:szCs w:val="18"/>
                    </w:rPr>
                    <w:t>RevPAR:</w:t>
                  </w:r>
                  <w:r w:rsidRPr="001658D7">
                    <w:rPr>
                      <w:rFonts w:ascii="Arial" w:hAnsi="Arial" w:cs="Arial"/>
                      <w:sz w:val="18"/>
                      <w:szCs w:val="18"/>
                    </w:rPr>
                    <w:t xml:space="preserve"> Revenue per available room. </w:t>
                  </w:r>
                </w:p>
              </w:tc>
            </w:tr>
          </w:tbl>
          <w:p w:rsidR="00BC5515" w:rsidRPr="001658D7" w:rsidRDefault="00BC5515"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1658D7" w:rsidRDefault="001658D7" w:rsidP="009D430E">
            <w:pPr>
              <w:spacing w:before="60" w:after="60"/>
              <w:rPr>
                <w:rFonts w:ascii="Arial" w:hAnsi="Arial" w:cs="Arial"/>
                <w:b/>
                <w:sz w:val="18"/>
                <w:szCs w:val="18"/>
              </w:rPr>
            </w:pPr>
          </w:p>
          <w:p w:rsidR="003966B4" w:rsidRDefault="003966B4" w:rsidP="009D430E">
            <w:pPr>
              <w:spacing w:before="60" w:after="60"/>
              <w:rPr>
                <w:rFonts w:ascii="Arial" w:hAnsi="Arial" w:cs="Arial"/>
                <w:b/>
                <w:sz w:val="18"/>
                <w:szCs w:val="18"/>
              </w:rPr>
            </w:pPr>
          </w:p>
          <w:p w:rsidR="001658D7" w:rsidRPr="009D430E" w:rsidRDefault="001658D7" w:rsidP="009D430E">
            <w:pPr>
              <w:spacing w:before="60" w:after="60"/>
              <w:rPr>
                <w:rFonts w:ascii="Arial" w:hAnsi="Arial" w:cs="Arial"/>
                <w:b/>
                <w:sz w:val="18"/>
                <w:szCs w:val="18"/>
              </w:rPr>
            </w:pPr>
          </w:p>
          <w:tbl>
            <w:tblPr>
              <w:tblW w:w="0" w:type="auto"/>
              <w:tblLayout w:type="fixed"/>
              <w:tblLook w:val="00A0" w:firstRow="1" w:lastRow="0" w:firstColumn="1" w:lastColumn="0" w:noHBand="0" w:noVBand="0"/>
            </w:tblPr>
            <w:tblGrid>
              <w:gridCol w:w="5210"/>
              <w:gridCol w:w="994"/>
              <w:gridCol w:w="2126"/>
              <w:gridCol w:w="2090"/>
            </w:tblGrid>
            <w:tr w:rsidR="00BC5515" w:rsidRPr="009D430E" w:rsidTr="006177A4">
              <w:tc>
                <w:tcPr>
                  <w:tcW w:w="10420" w:type="dxa"/>
                  <w:gridSpan w:val="4"/>
                  <w:tcBorders>
                    <w:left w:val="nil"/>
                    <w:bottom w:val="single" w:sz="4" w:space="0" w:color="auto"/>
                    <w:right w:val="nil"/>
                  </w:tcBorders>
                </w:tcPr>
                <w:p w:rsidR="00BC5515" w:rsidRPr="009D430E" w:rsidRDefault="00BC5515" w:rsidP="001658D7">
                  <w:pPr>
                    <w:spacing w:before="60" w:after="60"/>
                    <w:jc w:val="both"/>
                    <w:rPr>
                      <w:rFonts w:ascii="Arial" w:hAnsi="Arial" w:cs="Arial"/>
                      <w:b/>
                      <w:sz w:val="18"/>
                      <w:szCs w:val="18"/>
                    </w:rPr>
                  </w:pPr>
                  <w:r w:rsidRPr="009D430E">
                    <w:rPr>
                      <w:rFonts w:ascii="Arial" w:hAnsi="Arial" w:cs="Arial"/>
                      <w:b/>
                      <w:sz w:val="18"/>
                      <w:szCs w:val="18"/>
                    </w:rPr>
                    <w:t>For further information, please contact:</w:t>
                  </w:r>
                </w:p>
              </w:tc>
            </w:tr>
            <w:tr w:rsidR="00BC5515" w:rsidRPr="009D430E" w:rsidTr="006177A4">
              <w:tc>
                <w:tcPr>
                  <w:tcW w:w="6204" w:type="dxa"/>
                  <w:gridSpan w:val="2"/>
                  <w:tcBorders>
                    <w:top w:val="single" w:sz="4" w:space="0" w:color="auto"/>
                    <w:left w:val="single" w:sz="4" w:space="0" w:color="auto"/>
                    <w:bottom w:val="nil"/>
                    <w:right w:val="nil"/>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Investor Relations (David Kellett; Emma Parker; Matthew Woollard):</w:t>
                  </w:r>
                </w:p>
              </w:tc>
              <w:tc>
                <w:tcPr>
                  <w:tcW w:w="2126" w:type="dxa"/>
                  <w:tcBorders>
                    <w:top w:val="single" w:sz="4" w:space="0" w:color="auto"/>
                    <w:left w:val="nil"/>
                    <w:bottom w:val="nil"/>
                    <w:right w:val="nil"/>
                  </w:tcBorders>
                  <w:vAlign w:val="center"/>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(0)1895 512176</w:t>
                  </w:r>
                </w:p>
              </w:tc>
              <w:tc>
                <w:tcPr>
                  <w:tcW w:w="2090" w:type="dxa"/>
                  <w:tcBorders>
                    <w:top w:val="single" w:sz="4" w:space="0" w:color="auto"/>
                    <w:left w:val="nil"/>
                    <w:bottom w:val="nil"/>
                    <w:right w:val="single" w:sz="4" w:space="0" w:color="auto"/>
                  </w:tcBorders>
                  <w:vAlign w:val="center"/>
                </w:tcPr>
                <w:p w:rsidR="00BC5515" w:rsidRPr="009D430E" w:rsidRDefault="00BC5515" w:rsidP="001658D7">
                  <w:pPr>
                    <w:spacing w:before="60" w:after="60"/>
                    <w:jc w:val="both"/>
                    <w:rPr>
                      <w:rFonts w:ascii="Arial" w:hAnsi="Arial" w:cs="Arial"/>
                      <w:sz w:val="18"/>
                      <w:szCs w:val="18"/>
                    </w:rPr>
                  </w:pPr>
                  <w:r w:rsidRPr="009D430E">
                    <w:rPr>
                      <w:rFonts w:ascii="Arial" w:hAnsi="Arial" w:cs="Arial"/>
                      <w:sz w:val="18"/>
                      <w:szCs w:val="18"/>
                    </w:rPr>
                    <w:t>+44 (0)7808 098 724</w:t>
                  </w:r>
                </w:p>
              </w:tc>
            </w:tr>
            <w:tr w:rsidR="00BC5515" w:rsidRPr="009D430E" w:rsidTr="006177A4">
              <w:tc>
                <w:tcPr>
                  <w:tcW w:w="6204" w:type="dxa"/>
                  <w:gridSpan w:val="2"/>
                  <w:tcBorders>
                    <w:top w:val="nil"/>
                    <w:left w:val="single" w:sz="4" w:space="0" w:color="auto"/>
                    <w:bottom w:val="single" w:sz="4" w:space="0" w:color="auto"/>
                    <w:right w:val="nil"/>
                  </w:tcBorders>
                  <w:vAlign w:val="center"/>
                </w:tcPr>
                <w:p w:rsidR="00BC5515" w:rsidRPr="009D430E" w:rsidRDefault="00BC5515" w:rsidP="001658D7">
                  <w:pPr>
                    <w:spacing w:before="60" w:after="60"/>
                    <w:rPr>
                      <w:rFonts w:ascii="Arial" w:hAnsi="Arial" w:cs="Arial"/>
                      <w:sz w:val="18"/>
                      <w:szCs w:val="18"/>
                      <w:lang w:val="de-DE"/>
                    </w:rPr>
                  </w:pPr>
                  <w:r w:rsidRPr="009D430E">
                    <w:rPr>
                      <w:rFonts w:ascii="Arial" w:hAnsi="Arial" w:cs="Arial"/>
                      <w:sz w:val="18"/>
                      <w:szCs w:val="18"/>
                      <w:lang w:val="de-DE"/>
                    </w:rPr>
                    <w:t>Medi</w:t>
                  </w:r>
                  <w:r w:rsidR="00F23EDE">
                    <w:rPr>
                      <w:rFonts w:ascii="Arial" w:hAnsi="Arial" w:cs="Arial"/>
                      <w:sz w:val="18"/>
                      <w:szCs w:val="18"/>
                      <w:lang w:val="de-DE"/>
                    </w:rPr>
                    <w:t>a Relations (Yasmin Diamond;</w:t>
                  </w:r>
                  <w:r w:rsidR="00D31900">
                    <w:rPr>
                      <w:rFonts w:ascii="Arial" w:hAnsi="Arial" w:cs="Arial"/>
                      <w:sz w:val="18"/>
                      <w:szCs w:val="18"/>
                      <w:lang w:val="de-DE"/>
                    </w:rPr>
                    <w:t xml:space="preserve"> Zoë</w:t>
                  </w:r>
                  <w:r w:rsidRPr="009D430E">
                    <w:rPr>
                      <w:rFonts w:ascii="Arial" w:hAnsi="Arial" w:cs="Arial"/>
                      <w:sz w:val="18"/>
                      <w:szCs w:val="18"/>
                      <w:lang w:val="de-DE"/>
                    </w:rPr>
                    <w:t xml:space="preserve"> Bird):</w:t>
                  </w:r>
                </w:p>
              </w:tc>
              <w:tc>
                <w:tcPr>
                  <w:tcW w:w="2126" w:type="dxa"/>
                  <w:tcBorders>
                    <w:top w:val="nil"/>
                    <w:left w:val="nil"/>
                    <w:bottom w:val="single" w:sz="4" w:space="0" w:color="auto"/>
                    <w:right w:val="nil"/>
                  </w:tcBorders>
                  <w:vAlign w:val="center"/>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(0)1895 512008</w:t>
                  </w:r>
                </w:p>
              </w:tc>
              <w:tc>
                <w:tcPr>
                  <w:tcW w:w="2090" w:type="dxa"/>
                  <w:tcBorders>
                    <w:top w:val="nil"/>
                    <w:left w:val="nil"/>
                    <w:bottom w:val="single" w:sz="4" w:space="0" w:color="auto"/>
                    <w:right w:val="single" w:sz="4" w:space="0" w:color="auto"/>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(0)7736 746 167</w:t>
                  </w:r>
                </w:p>
              </w:tc>
            </w:tr>
            <w:tr w:rsidR="00BC5515" w:rsidRPr="009D430E" w:rsidTr="006177A4">
              <w:tc>
                <w:tcPr>
                  <w:tcW w:w="10420" w:type="dxa"/>
                  <w:gridSpan w:val="4"/>
                  <w:tcBorders>
                    <w:top w:val="nil"/>
                    <w:left w:val="nil"/>
                    <w:bottom w:val="single" w:sz="4" w:space="0" w:color="auto"/>
                    <w:right w:val="nil"/>
                  </w:tcBorders>
                </w:tcPr>
                <w:p w:rsidR="00BC5515" w:rsidRPr="009D430E" w:rsidRDefault="00BC5515" w:rsidP="001658D7">
                  <w:pPr>
                    <w:spacing w:before="60" w:after="60"/>
                    <w:jc w:val="both"/>
                    <w:rPr>
                      <w:rFonts w:ascii="Arial" w:hAnsi="Arial" w:cs="Arial"/>
                      <w:b/>
                      <w:sz w:val="18"/>
                      <w:szCs w:val="18"/>
                    </w:rPr>
                  </w:pPr>
                  <w:r w:rsidRPr="009D430E">
                    <w:rPr>
                      <w:rFonts w:ascii="Arial" w:hAnsi="Arial" w:cs="Arial"/>
                      <w:b/>
                      <w:sz w:val="18"/>
                      <w:szCs w:val="18"/>
                    </w:rPr>
                    <w:t>Conference call for Analysts and Shareholders:</w:t>
                  </w:r>
                </w:p>
                <w:p w:rsidR="00BC5515" w:rsidRPr="009D430E" w:rsidRDefault="00BC5515" w:rsidP="001658D7">
                  <w:pPr>
                    <w:spacing w:before="60" w:after="60"/>
                    <w:jc w:val="both"/>
                    <w:rPr>
                      <w:rFonts w:ascii="Arial" w:hAnsi="Arial" w:cs="Arial"/>
                      <w:b/>
                      <w:sz w:val="18"/>
                      <w:szCs w:val="18"/>
                    </w:rPr>
                  </w:pPr>
                  <w:r w:rsidRPr="009D430E">
                    <w:rPr>
                      <w:rFonts w:ascii="Arial" w:hAnsi="Arial" w:cs="Arial"/>
                      <w:sz w:val="18"/>
                      <w:szCs w:val="18"/>
                    </w:rPr>
                    <w:t>A conference call with Paul Edgecliffe-Johnson (Chief Financial Off</w:t>
                  </w:r>
                  <w:r w:rsidR="00ED0E87">
                    <w:rPr>
                      <w:rFonts w:ascii="Arial" w:hAnsi="Arial" w:cs="Arial"/>
                      <w:sz w:val="18"/>
                      <w:szCs w:val="18"/>
                    </w:rPr>
                    <w:t>icer) will commence at 9.00am London</w:t>
                  </w:r>
                  <w:r w:rsidRPr="009D430E">
                    <w:rPr>
                      <w:rFonts w:ascii="Arial" w:hAnsi="Arial" w:cs="Arial"/>
                      <w:sz w:val="18"/>
                      <w:szCs w:val="18"/>
                    </w:rPr>
                    <w:t xml:space="preserve"> time on 8 May and can be accessed on w</w:t>
                  </w:r>
                  <w:r w:rsidRPr="009D430E">
                    <w:rPr>
                      <w:rFonts w:ascii="Arial" w:hAnsi="Arial" w:cs="Arial"/>
                      <w:sz w:val="18"/>
                      <w:szCs w:val="18"/>
                      <w:shd w:val="clear" w:color="auto" w:fill="FFFFFF"/>
                    </w:rPr>
                    <w:t>ww.ihgplc.com/Q1</w:t>
                  </w:r>
                  <w:r w:rsidRPr="009D430E">
                    <w:rPr>
                      <w:rFonts w:ascii="Arial" w:hAnsi="Arial" w:cs="Arial"/>
                      <w:sz w:val="18"/>
                      <w:szCs w:val="18"/>
                    </w:rPr>
                    <w:t xml:space="preserve">. There will be an opportunity to ask questions.  </w:t>
                  </w:r>
                </w:p>
              </w:tc>
            </w:tr>
            <w:tr w:rsidR="00BC5515" w:rsidRPr="009D430E" w:rsidTr="006177A4">
              <w:tblPrEx>
                <w:tblBorders>
                  <w:top w:val="single" w:sz="4" w:space="0" w:color="auto"/>
                  <w:left w:val="single" w:sz="4" w:space="0" w:color="auto"/>
                  <w:bottom w:val="single" w:sz="4" w:space="0" w:color="auto"/>
                  <w:right w:val="single" w:sz="4" w:space="0" w:color="auto"/>
                </w:tblBorders>
              </w:tblPrEx>
              <w:trPr>
                <w:trHeight w:val="516"/>
              </w:trPr>
              <w:tc>
                <w:tcPr>
                  <w:tcW w:w="5210" w:type="dxa"/>
                  <w:tcBorders>
                    <w:top w:val="single" w:sz="4" w:space="0" w:color="auto"/>
                    <w:bottom w:val="nil"/>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UK Toll</w:t>
                  </w:r>
                </w:p>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UK Toll Free</w:t>
                  </w:r>
                </w:p>
                <w:p w:rsidR="00BC5515" w:rsidRPr="009D430E" w:rsidRDefault="00BC5515" w:rsidP="001658D7">
                  <w:pPr>
                    <w:spacing w:before="60" w:after="60"/>
                    <w:rPr>
                      <w:rFonts w:ascii="Arial" w:hAnsi="Arial" w:cs="Arial"/>
                      <w:i/>
                      <w:sz w:val="18"/>
                      <w:szCs w:val="18"/>
                    </w:rPr>
                  </w:pPr>
                  <w:r w:rsidRPr="009D430E">
                    <w:rPr>
                      <w:rFonts w:ascii="Arial" w:hAnsi="Arial" w:cs="Arial"/>
                      <w:sz w:val="18"/>
                      <w:szCs w:val="18"/>
                    </w:rPr>
                    <w:t>US Toll</w:t>
                  </w:r>
                </w:p>
              </w:tc>
              <w:tc>
                <w:tcPr>
                  <w:tcW w:w="5210" w:type="dxa"/>
                  <w:gridSpan w:val="3"/>
                  <w:tcBorders>
                    <w:top w:val="single" w:sz="4" w:space="0" w:color="auto"/>
                    <w:bottom w:val="nil"/>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 20 3003 2666</w:t>
                  </w:r>
                </w:p>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0808 109 0700</w:t>
                  </w:r>
                </w:p>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+1 212 999 6659</w:t>
                  </w:r>
                </w:p>
              </w:tc>
            </w:tr>
            <w:tr w:rsidR="00BC5515" w:rsidRPr="009D430E" w:rsidTr="006177A4">
              <w:tblPrEx>
                <w:tblBorders>
                  <w:top w:val="single" w:sz="4" w:space="0" w:color="auto"/>
                  <w:left w:val="single" w:sz="4" w:space="0" w:color="auto"/>
                  <w:bottom w:val="single" w:sz="4" w:space="0" w:color="auto"/>
                  <w:right w:val="single" w:sz="4" w:space="0" w:color="auto"/>
                </w:tblBorders>
              </w:tblPrEx>
              <w:trPr>
                <w:trHeight w:val="96"/>
              </w:trPr>
              <w:tc>
                <w:tcPr>
                  <w:tcW w:w="5210" w:type="dxa"/>
                  <w:tcBorders>
                    <w:top w:val="nil"/>
                    <w:bottom w:val="single" w:sz="4" w:space="0" w:color="auto"/>
                  </w:tcBorders>
                </w:tcPr>
                <w:p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Passcode</w:t>
                  </w:r>
                </w:p>
              </w:tc>
              <w:tc>
                <w:tcPr>
                  <w:tcW w:w="5210" w:type="dxa"/>
                  <w:gridSpan w:val="3"/>
                  <w:tcBorders>
                    <w:top w:val="nil"/>
                    <w:bottom w:val="single" w:sz="4" w:space="0" w:color="auto"/>
                  </w:tcBorders>
                </w:tcPr>
                <w:p w:rsidR="00BC5515" w:rsidRPr="009D430E" w:rsidRDefault="00BC5515" w:rsidP="001658D7">
                  <w:pPr>
                    <w:pStyle w:val="BodyText"/>
                    <w:spacing w:before="60" w:after="60"/>
                    <w:rPr>
                      <w:rFonts w:ascii="Arial" w:hAnsi="Arial" w:cs="Arial"/>
                      <w:color w:val="222222"/>
                      <w:sz w:val="18"/>
                      <w:szCs w:val="18"/>
                    </w:rPr>
                  </w:pPr>
                  <w:r w:rsidRPr="009D430E">
                    <w:rPr>
                      <w:rFonts w:ascii="Arial" w:hAnsi="Arial" w:cs="Arial"/>
                      <w:color w:val="222222"/>
                      <w:sz w:val="18"/>
                      <w:szCs w:val="18"/>
                    </w:rPr>
                    <w:t>IHG Analysts Call</w:t>
                  </w:r>
                </w:p>
              </w:tc>
            </w:tr>
            <w:tr w:rsidR="00BC5515" w:rsidRPr="009D430E" w:rsidTr="006177A4">
              <w:tblPrEx>
                <w:tblBorders>
                  <w:top w:val="single" w:sz="4" w:space="0" w:color="auto"/>
                  <w:left w:val="single" w:sz="4" w:space="0" w:color="auto"/>
                  <w:bottom w:val="single" w:sz="4" w:space="0" w:color="auto"/>
                  <w:right w:val="single" w:sz="4" w:space="0" w:color="auto"/>
                </w:tblBorders>
              </w:tblPrEx>
              <w:tc>
                <w:tcPr>
                  <w:tcW w:w="10420" w:type="dxa"/>
                  <w:gridSpan w:val="4"/>
                  <w:tcBorders>
                    <w:top w:val="single" w:sz="4" w:space="0" w:color="auto"/>
                    <w:left w:val="nil"/>
                    <w:bottom w:val="single" w:sz="4" w:space="0" w:color="auto"/>
                    <w:right w:val="nil"/>
                  </w:tcBorders>
                </w:tcPr>
                <w:p w:rsidR="00BC5515" w:rsidRPr="009D430E" w:rsidRDefault="00BC5515" w:rsidP="001658D7">
                  <w:pPr>
                    <w:pStyle w:val="BodyText"/>
                    <w:spacing w:before="60" w:after="60"/>
                    <w:jc w:val="both"/>
                    <w:rPr>
                      <w:rFonts w:ascii="Arial" w:hAnsi="Arial" w:cs="Arial"/>
                      <w:sz w:val="18"/>
                      <w:szCs w:val="18"/>
                    </w:rPr>
                  </w:pPr>
                  <w:r w:rsidRPr="009D430E">
                    <w:rPr>
                      <w:rFonts w:ascii="Arial" w:hAnsi="Arial" w:cs="Arial"/>
                      <w:sz w:val="18"/>
                      <w:szCs w:val="18"/>
                    </w:rPr>
                    <w:t>A replay of the 9.00am conference call will be available following the event – details are below:</w:t>
                  </w:r>
                </w:p>
              </w:tc>
            </w:tr>
            <w:tr w:rsidR="00BC5515" w:rsidRPr="009D430E" w:rsidTr="006177A4">
              <w:tblPrEx>
                <w:tblBorders>
                  <w:top w:val="single" w:sz="4" w:space="0" w:color="auto"/>
                  <w:left w:val="single" w:sz="4" w:space="0" w:color="auto"/>
                  <w:bottom w:val="single" w:sz="4" w:space="0" w:color="auto"/>
                  <w:right w:val="single" w:sz="4" w:space="0" w:color="auto"/>
                </w:tblBorders>
              </w:tblPrEx>
              <w:tc>
                <w:tcPr>
                  <w:tcW w:w="5210" w:type="dxa"/>
                  <w:tcBorders>
                    <w:top w:val="single" w:sz="4" w:space="0" w:color="auto"/>
                    <w:bottom w:val="nil"/>
                  </w:tcBorders>
                </w:tcPr>
                <w:p w:rsidR="00BC5515" w:rsidRPr="009D430E" w:rsidRDefault="00BC5515" w:rsidP="001658D7">
                  <w:pPr>
                    <w:pStyle w:val="BodyText"/>
                    <w:spacing w:before="60" w:after="60"/>
                    <w:ind w:left="-108" w:firstLine="108"/>
                    <w:rPr>
                      <w:rFonts w:ascii="Arial" w:hAnsi="Arial" w:cs="Arial"/>
                      <w:i/>
                      <w:sz w:val="18"/>
                      <w:szCs w:val="18"/>
                    </w:rPr>
                  </w:pPr>
                  <w:r w:rsidRPr="009D430E">
                    <w:rPr>
                      <w:rFonts w:ascii="Arial" w:hAnsi="Arial" w:cs="Arial"/>
                      <w:sz w:val="18"/>
                      <w:szCs w:val="18"/>
                    </w:rPr>
                    <w:t>UK Toll</w:t>
                  </w:r>
                </w:p>
              </w:tc>
              <w:tc>
                <w:tcPr>
                  <w:tcW w:w="5210" w:type="dxa"/>
                  <w:gridSpan w:val="3"/>
                  <w:tcBorders>
                    <w:top w:val="single" w:sz="4" w:space="0" w:color="auto"/>
                    <w:bottom w:val="nil"/>
                  </w:tcBorders>
                </w:tcPr>
                <w:p w:rsidR="00BC5515" w:rsidRPr="009D430E" w:rsidRDefault="00BC5515" w:rsidP="001658D7">
                  <w:pPr>
                    <w:pStyle w:val="BodyText"/>
                    <w:spacing w:before="60" w:after="60"/>
                    <w:rPr>
                      <w:rFonts w:ascii="Arial" w:hAnsi="Arial" w:cs="Arial"/>
                      <w:sz w:val="18"/>
                      <w:szCs w:val="18"/>
                    </w:rPr>
                  </w:pPr>
                  <w:r w:rsidRPr="009D430E">
                    <w:rPr>
                      <w:rFonts w:ascii="Arial" w:hAnsi="Arial" w:cs="Arial"/>
                      <w:sz w:val="18"/>
                      <w:szCs w:val="18"/>
                    </w:rPr>
                    <w:t>+44 (0) 20 3451 9993</w:t>
                  </w:r>
                </w:p>
              </w:tc>
            </w:tr>
            <w:tr w:rsidR="00BC5515" w:rsidRPr="009D430E" w:rsidTr="006177A4">
              <w:tblPrEx>
                <w:tblBorders>
                  <w:top w:val="single" w:sz="4" w:space="0" w:color="auto"/>
                  <w:left w:val="single" w:sz="4" w:space="0" w:color="auto"/>
                  <w:bottom w:val="single" w:sz="4" w:space="0" w:color="auto"/>
                  <w:right w:val="single" w:sz="4" w:space="0" w:color="auto"/>
                </w:tblBorders>
              </w:tblPrEx>
              <w:tc>
                <w:tcPr>
                  <w:tcW w:w="5210" w:type="dxa"/>
                  <w:tcBorders>
                    <w:top w:val="nil"/>
                    <w:bottom w:val="nil"/>
                  </w:tcBorders>
                </w:tcPr>
                <w:p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Replay pin</w:t>
                  </w:r>
                </w:p>
              </w:tc>
              <w:tc>
                <w:tcPr>
                  <w:tcW w:w="5210" w:type="dxa"/>
                  <w:gridSpan w:val="3"/>
                  <w:tcBorders>
                    <w:top w:val="nil"/>
                    <w:bottom w:val="nil"/>
                  </w:tcBorders>
                </w:tcPr>
                <w:p w:rsidR="00BC5515" w:rsidRPr="009D430E" w:rsidRDefault="00BC5515" w:rsidP="001658D7">
                  <w:pPr>
                    <w:pStyle w:val="BodyText"/>
                    <w:spacing w:before="60" w:after="60"/>
                    <w:rPr>
                      <w:rFonts w:ascii="Arial" w:hAnsi="Arial" w:cs="Arial"/>
                      <w:sz w:val="18"/>
                      <w:szCs w:val="18"/>
                    </w:rPr>
                  </w:pPr>
                  <w:r w:rsidRPr="009D430E">
                    <w:rPr>
                      <w:rFonts w:ascii="Arial" w:hAnsi="Arial" w:cs="Arial"/>
                      <w:sz w:val="18"/>
                      <w:szCs w:val="18"/>
                    </w:rPr>
                    <w:t>1813301</w:t>
                  </w:r>
                  <w:r w:rsidRPr="009D430E">
                    <w:rPr>
                      <w:rFonts w:ascii="Arial" w:hAnsi="Arial" w:cs="Arial"/>
                      <w:color w:val="222222"/>
                      <w:sz w:val="18"/>
                      <w:szCs w:val="18"/>
                      <w:shd w:val="clear" w:color="auto" w:fill="FFFFFF"/>
                    </w:rPr>
                    <w:t>#</w:t>
                  </w:r>
                </w:p>
              </w:tc>
            </w:tr>
            <w:tr w:rsidR="00BC5515" w:rsidRPr="009D430E" w:rsidTr="006177A4">
              <w:tblPrEx>
                <w:tblBorders>
                  <w:top w:val="single" w:sz="4" w:space="0" w:color="auto"/>
                  <w:left w:val="single" w:sz="4" w:space="0" w:color="auto"/>
                  <w:bottom w:val="single" w:sz="4" w:space="0" w:color="auto"/>
                  <w:right w:val="single" w:sz="4" w:space="0" w:color="auto"/>
                </w:tblBorders>
              </w:tblPrEx>
              <w:tc>
                <w:tcPr>
                  <w:tcW w:w="10420" w:type="dxa"/>
                  <w:gridSpan w:val="4"/>
                  <w:tcBorders>
                    <w:top w:val="single" w:sz="4" w:space="0" w:color="auto"/>
                    <w:left w:val="nil"/>
                    <w:bottom w:val="single" w:sz="4" w:space="0" w:color="auto"/>
                    <w:right w:val="nil"/>
                  </w:tcBorders>
                </w:tcPr>
                <w:p w:rsidR="00BC5515" w:rsidRPr="009D430E" w:rsidRDefault="00BC5515" w:rsidP="001658D7">
                  <w:pPr>
                    <w:pStyle w:val="Indent1"/>
                    <w:spacing w:before="60" w:after="60"/>
                    <w:rPr>
                      <w:rFonts w:ascii="Arial" w:hAnsi="Arial" w:cs="Arial"/>
                      <w:b/>
                      <w:sz w:val="18"/>
                      <w:szCs w:val="18"/>
                    </w:rPr>
                  </w:pPr>
                  <w:r w:rsidRPr="009D430E">
                    <w:rPr>
                      <w:rFonts w:ascii="Arial" w:hAnsi="Arial" w:cs="Arial"/>
                      <w:b/>
                      <w:sz w:val="18"/>
                      <w:szCs w:val="18"/>
                    </w:rPr>
                    <w:t>US conference call and Q&amp;A:</w:t>
                  </w:r>
                </w:p>
                <w:p w:rsidR="00BC5515" w:rsidRPr="009D430E" w:rsidRDefault="00BC5515" w:rsidP="00A45C32">
                  <w:pPr>
                    <w:pStyle w:val="BodyText"/>
                    <w:spacing w:before="60" w:after="60"/>
                    <w:jc w:val="both"/>
                    <w:rPr>
                      <w:rFonts w:ascii="Arial" w:hAnsi="Arial" w:cs="Arial"/>
                      <w:sz w:val="18"/>
                      <w:szCs w:val="18"/>
                    </w:rPr>
                  </w:pPr>
                  <w:r w:rsidRPr="009D430E">
                    <w:rPr>
                      <w:rFonts w:ascii="Arial" w:hAnsi="Arial" w:cs="Arial"/>
                      <w:sz w:val="18"/>
                      <w:szCs w:val="18"/>
                    </w:rPr>
                    <w:t xml:space="preserve">There will also be a conference call, primarily for US investors and analysts, at 9.00am </w:t>
                  </w:r>
                  <w:r w:rsidR="00A45C32">
                    <w:rPr>
                      <w:rFonts w:ascii="Arial" w:hAnsi="Arial" w:cs="Arial"/>
                      <w:sz w:val="18"/>
                      <w:szCs w:val="18"/>
                    </w:rPr>
                    <w:t>New York</w:t>
                  </w:r>
                  <w:r w:rsidRPr="009D430E">
                    <w:rPr>
                      <w:rFonts w:ascii="Arial" w:hAnsi="Arial" w:cs="Arial"/>
                      <w:sz w:val="18"/>
                      <w:szCs w:val="18"/>
                    </w:rPr>
                    <w:t xml:space="preserve"> Time on 8 May with Paul Edgecliffe-Johnson (Chief Financial Officer). There will be an opportunity to ask questions.</w:t>
                  </w:r>
                </w:p>
              </w:tc>
            </w:tr>
            <w:tr w:rsidR="00BC5515" w:rsidRPr="009D430E" w:rsidTr="006177A4">
              <w:tblPrEx>
                <w:tblBorders>
                  <w:top w:val="single" w:sz="4" w:space="0" w:color="auto"/>
                  <w:left w:val="single" w:sz="4" w:space="0" w:color="auto"/>
                  <w:bottom w:val="single" w:sz="4" w:space="0" w:color="auto"/>
                  <w:right w:val="single" w:sz="4" w:space="0" w:color="auto"/>
                </w:tblBorders>
              </w:tblPrEx>
              <w:tc>
                <w:tcPr>
                  <w:tcW w:w="5210" w:type="dxa"/>
                  <w:tcBorders>
                    <w:top w:val="single" w:sz="4" w:space="0" w:color="auto"/>
                    <w:bottom w:val="nil"/>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UK Toll</w:t>
                  </w:r>
                </w:p>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US Toll</w:t>
                  </w:r>
                </w:p>
                <w:p w:rsidR="00BC5515" w:rsidRPr="009D430E" w:rsidRDefault="00BC5515" w:rsidP="001658D7">
                  <w:pPr>
                    <w:spacing w:before="60" w:after="60"/>
                    <w:rPr>
                      <w:rFonts w:ascii="Arial" w:hAnsi="Arial" w:cs="Arial"/>
                      <w:i/>
                      <w:sz w:val="18"/>
                      <w:szCs w:val="18"/>
                    </w:rPr>
                  </w:pPr>
                  <w:r w:rsidRPr="009D430E">
                    <w:rPr>
                      <w:rFonts w:ascii="Arial" w:hAnsi="Arial" w:cs="Arial"/>
                      <w:sz w:val="18"/>
                      <w:szCs w:val="18"/>
                    </w:rPr>
                    <w:t>US Toll Free</w:t>
                  </w:r>
                </w:p>
              </w:tc>
              <w:tc>
                <w:tcPr>
                  <w:tcW w:w="5210" w:type="dxa"/>
                  <w:gridSpan w:val="3"/>
                  <w:tcBorders>
                    <w:top w:val="single" w:sz="4" w:space="0" w:color="auto"/>
                    <w:bottom w:val="nil"/>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 20 3003 2666</w:t>
                  </w:r>
                </w:p>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+1 212 999 6659</w:t>
                  </w:r>
                </w:p>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+1 866 966 5335</w:t>
                  </w:r>
                </w:p>
              </w:tc>
            </w:tr>
            <w:tr w:rsidR="00BC5515" w:rsidRPr="009D430E" w:rsidTr="006177A4">
              <w:tblPrEx>
                <w:tblBorders>
                  <w:top w:val="single" w:sz="4" w:space="0" w:color="auto"/>
                  <w:left w:val="single" w:sz="4" w:space="0" w:color="auto"/>
                  <w:bottom w:val="single" w:sz="4" w:space="0" w:color="auto"/>
                  <w:right w:val="single" w:sz="4" w:space="0" w:color="auto"/>
                </w:tblBorders>
              </w:tblPrEx>
              <w:tc>
                <w:tcPr>
                  <w:tcW w:w="5210" w:type="dxa"/>
                  <w:tcBorders>
                    <w:top w:val="nil"/>
                    <w:bottom w:val="single" w:sz="4" w:space="0" w:color="auto"/>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Passcode</w:t>
                  </w:r>
                </w:p>
              </w:tc>
              <w:tc>
                <w:tcPr>
                  <w:tcW w:w="5210" w:type="dxa"/>
                  <w:gridSpan w:val="3"/>
                  <w:tcBorders>
                    <w:top w:val="nil"/>
                    <w:bottom w:val="single" w:sz="4" w:space="0" w:color="auto"/>
                  </w:tcBorders>
                </w:tcPr>
                <w:p w:rsidR="00BC5515" w:rsidRPr="009D430E" w:rsidDel="00D14A55" w:rsidRDefault="00BC5515" w:rsidP="001658D7">
                  <w:pPr>
                    <w:spacing w:before="60" w:after="60"/>
                    <w:rPr>
                      <w:rFonts w:ascii="Arial" w:hAnsi="Arial" w:cs="Arial"/>
                      <w:sz w:val="18"/>
                      <w:szCs w:val="18"/>
                    </w:rPr>
                  </w:pPr>
                  <w:r w:rsidRPr="009D430E">
                    <w:rPr>
                      <w:rFonts w:ascii="Arial" w:hAnsi="Arial" w:cs="Arial"/>
                      <w:color w:val="222222"/>
                      <w:sz w:val="18"/>
                      <w:szCs w:val="18"/>
                    </w:rPr>
                    <w:t>IHG Analysts Call</w:t>
                  </w:r>
                </w:p>
              </w:tc>
            </w:tr>
            <w:tr w:rsidR="00BC5515" w:rsidRPr="009D430E" w:rsidTr="009D430E">
              <w:tblPrEx>
                <w:tblBorders>
                  <w:top w:val="single" w:sz="4" w:space="0" w:color="auto"/>
                  <w:left w:val="single" w:sz="4" w:space="0" w:color="auto"/>
                  <w:bottom w:val="single" w:sz="4" w:space="0" w:color="auto"/>
                  <w:right w:val="single" w:sz="4" w:space="0" w:color="auto"/>
                </w:tblBorders>
              </w:tblPrEx>
              <w:trPr>
                <w:trHeight w:val="301"/>
              </w:trPr>
              <w:tc>
                <w:tcPr>
                  <w:tcW w:w="10420" w:type="dxa"/>
                  <w:gridSpan w:val="4"/>
                  <w:tcBorders>
                    <w:top w:val="single" w:sz="4" w:space="0" w:color="auto"/>
                    <w:left w:val="nil"/>
                    <w:bottom w:val="single" w:sz="4" w:space="0" w:color="auto"/>
                    <w:right w:val="nil"/>
                  </w:tcBorders>
                </w:tcPr>
                <w:p w:rsidR="00BC5515" w:rsidRPr="009D430E" w:rsidRDefault="00BC5515" w:rsidP="001658D7">
                  <w:pPr>
                    <w:pStyle w:val="BodyText"/>
                    <w:spacing w:before="60" w:after="60"/>
                    <w:jc w:val="both"/>
                    <w:rPr>
                      <w:rFonts w:ascii="Arial" w:hAnsi="Arial" w:cs="Arial"/>
                      <w:sz w:val="18"/>
                      <w:szCs w:val="18"/>
                    </w:rPr>
                  </w:pPr>
                  <w:r w:rsidRPr="009D430E">
                    <w:rPr>
                      <w:rFonts w:ascii="Arial" w:hAnsi="Arial" w:cs="Arial"/>
                      <w:sz w:val="18"/>
                      <w:szCs w:val="18"/>
                    </w:rPr>
                    <w:t>A replay of the 9.00am US conference call will be available following the event – details are below:</w:t>
                  </w:r>
                </w:p>
              </w:tc>
            </w:tr>
            <w:tr w:rsidR="00BC5515" w:rsidRPr="009D430E" w:rsidTr="006177A4">
              <w:tblPrEx>
                <w:tblBorders>
                  <w:top w:val="single" w:sz="4" w:space="0" w:color="auto"/>
                  <w:left w:val="single" w:sz="4" w:space="0" w:color="auto"/>
                  <w:bottom w:val="single" w:sz="4" w:space="0" w:color="auto"/>
                  <w:right w:val="single" w:sz="4" w:space="0" w:color="auto"/>
                </w:tblBorders>
              </w:tblPrEx>
              <w:trPr>
                <w:trHeight w:val="230"/>
              </w:trPr>
              <w:tc>
                <w:tcPr>
                  <w:tcW w:w="5210" w:type="dxa"/>
                  <w:tcBorders>
                    <w:top w:val="single" w:sz="4" w:space="0" w:color="auto"/>
                    <w:bottom w:val="nil"/>
                  </w:tcBorders>
                </w:tcPr>
                <w:p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UK Toll</w:t>
                  </w:r>
                </w:p>
              </w:tc>
              <w:tc>
                <w:tcPr>
                  <w:tcW w:w="5210" w:type="dxa"/>
                  <w:gridSpan w:val="3"/>
                  <w:tcBorders>
                    <w:top w:val="single" w:sz="4" w:space="0" w:color="auto"/>
                    <w:bottom w:val="nil"/>
                  </w:tcBorders>
                </w:tcPr>
                <w:p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 20 3451 9993</w:t>
                  </w:r>
                </w:p>
              </w:tc>
            </w:tr>
            <w:tr w:rsidR="00BC5515" w:rsidRPr="009D430E" w:rsidTr="009D430E">
              <w:tblPrEx>
                <w:tblBorders>
                  <w:top w:val="single" w:sz="4" w:space="0" w:color="auto"/>
                  <w:left w:val="single" w:sz="4" w:space="0" w:color="auto"/>
                  <w:bottom w:val="single" w:sz="4" w:space="0" w:color="auto"/>
                  <w:right w:val="single" w:sz="4" w:space="0" w:color="auto"/>
                </w:tblBorders>
              </w:tblPrEx>
              <w:trPr>
                <w:trHeight w:val="266"/>
              </w:trPr>
              <w:tc>
                <w:tcPr>
                  <w:tcW w:w="5210" w:type="dxa"/>
                  <w:tcBorders>
                    <w:top w:val="nil"/>
                    <w:bottom w:val="single" w:sz="4" w:space="0" w:color="auto"/>
                  </w:tcBorders>
                </w:tcPr>
                <w:p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Replay pin</w:t>
                  </w:r>
                </w:p>
              </w:tc>
              <w:tc>
                <w:tcPr>
                  <w:tcW w:w="5210" w:type="dxa"/>
                  <w:gridSpan w:val="3"/>
                  <w:tcBorders>
                    <w:top w:val="nil"/>
                    <w:bottom w:val="single" w:sz="4" w:space="0" w:color="auto"/>
                  </w:tcBorders>
                </w:tcPr>
                <w:p w:rsidR="00BC5515" w:rsidRPr="009D430E" w:rsidRDefault="00BC5515" w:rsidP="001658D7">
                  <w:pPr>
                    <w:pStyle w:val="BodyText"/>
                    <w:spacing w:before="60" w:after="60"/>
                    <w:rPr>
                      <w:rFonts w:ascii="Arial" w:hAnsi="Arial" w:cs="Arial"/>
                      <w:sz w:val="18"/>
                      <w:szCs w:val="18"/>
                    </w:rPr>
                  </w:pPr>
                  <w:r w:rsidRPr="009D430E">
                    <w:rPr>
                      <w:rFonts w:ascii="Arial" w:hAnsi="Arial" w:cs="Arial"/>
                      <w:sz w:val="18"/>
                      <w:szCs w:val="18"/>
                    </w:rPr>
                    <w:t>6553303</w:t>
                  </w:r>
                  <w:r w:rsidRPr="009D430E">
                    <w:rPr>
                      <w:rFonts w:ascii="Arial" w:hAnsi="Arial" w:cs="Arial"/>
                      <w:color w:val="222222"/>
                      <w:sz w:val="18"/>
                      <w:szCs w:val="18"/>
                      <w:shd w:val="clear" w:color="auto" w:fill="FFFFFF"/>
                    </w:rPr>
                    <w:t>#</w:t>
                  </w:r>
                </w:p>
              </w:tc>
            </w:tr>
            <w:tr w:rsidR="00BC5515" w:rsidRPr="008A320A" w:rsidTr="009D430E">
              <w:tc>
                <w:tcPr>
                  <w:tcW w:w="10420" w:type="dxa"/>
                  <w:gridSpan w:val="4"/>
                </w:tcPr>
                <w:p w:rsidR="00BC5515" w:rsidRPr="008A320A" w:rsidRDefault="00BC5515" w:rsidP="001658D7">
                  <w:pPr>
                    <w:pStyle w:val="Heading1"/>
                    <w:spacing w:before="60" w:after="60"/>
                    <w:rPr>
                      <w:rFonts w:ascii="Arial" w:hAnsi="Arial" w:cs="Arial"/>
                      <w:b/>
                      <w:sz w:val="18"/>
                      <w:szCs w:val="18"/>
                    </w:rPr>
                  </w:pPr>
                  <w:r w:rsidRPr="008A320A">
                    <w:rPr>
                      <w:rFonts w:ascii="Arial" w:hAnsi="Arial" w:cs="Arial"/>
                      <w:b/>
                      <w:sz w:val="18"/>
                      <w:szCs w:val="18"/>
                    </w:rPr>
                    <w:t>Website:</w:t>
                  </w:r>
                </w:p>
                <w:p w:rsidR="00BC5515" w:rsidRPr="008A320A" w:rsidRDefault="00BC5515" w:rsidP="001658D7">
                  <w:pPr>
                    <w:spacing w:before="60" w:after="60"/>
                    <w:jc w:val="both"/>
                    <w:rPr>
                      <w:rFonts w:ascii="Arial" w:hAnsi="Arial" w:cs="Arial"/>
                      <w:sz w:val="18"/>
                      <w:szCs w:val="18"/>
                    </w:rPr>
                  </w:pPr>
                  <w:r w:rsidRPr="008A320A">
                    <w:rPr>
                      <w:rFonts w:ascii="Arial" w:hAnsi="Arial" w:cs="Arial"/>
                      <w:sz w:val="18"/>
                      <w:szCs w:val="18"/>
                    </w:rPr>
                    <w:t xml:space="preserve">The full release and supplementary data will be available on our website from 7.00am (London time) on 8 May. The web address is </w:t>
                  </w:r>
                  <w:r w:rsidRPr="008A320A">
                    <w:rPr>
                      <w:rFonts w:ascii="Arial" w:hAnsi="Arial" w:cs="Arial"/>
                      <w:sz w:val="18"/>
                      <w:szCs w:val="18"/>
                      <w:shd w:val="clear" w:color="auto" w:fill="FFFFFF"/>
                    </w:rPr>
                    <w:t>www.ihgplc.com/Q</w:t>
                  </w:r>
                  <w:r w:rsidRPr="008A320A">
                    <w:rPr>
                      <w:rFonts w:ascii="Arial" w:hAnsi="Arial" w:cs="Arial"/>
                      <w:color w:val="222222"/>
                      <w:sz w:val="18"/>
                      <w:szCs w:val="18"/>
                      <w:shd w:val="clear" w:color="auto" w:fill="FFFFFF"/>
                    </w:rPr>
                    <w:t>1</w:t>
                  </w:r>
                  <w:r w:rsidRPr="008A320A">
                    <w:rPr>
                      <w:rFonts w:ascii="Arial" w:hAnsi="Arial" w:cs="Arial"/>
                      <w:sz w:val="18"/>
                      <w:szCs w:val="18"/>
                    </w:rPr>
                    <w:t xml:space="preserve">. </w:t>
                  </w:r>
                </w:p>
              </w:tc>
            </w:tr>
            <w:tr w:rsidR="00BC5515" w:rsidRPr="009D430E" w:rsidTr="009D430E">
              <w:tc>
                <w:tcPr>
                  <w:tcW w:w="10420" w:type="dxa"/>
                  <w:gridSpan w:val="4"/>
                </w:tcPr>
                <w:p w:rsidR="00BC5515" w:rsidRPr="008A320A" w:rsidRDefault="00BC5515" w:rsidP="001658D7">
                  <w:pPr>
                    <w:spacing w:before="60" w:after="60"/>
                    <w:rPr>
                      <w:rFonts w:ascii="Arial" w:hAnsi="Arial" w:cs="Arial"/>
                      <w:sz w:val="18"/>
                      <w:szCs w:val="18"/>
                    </w:rPr>
                  </w:pPr>
                  <w:r w:rsidRPr="008A320A">
                    <w:rPr>
                      <w:rFonts w:ascii="Arial" w:hAnsi="Arial" w:cs="Arial"/>
                      <w:b/>
                      <w:sz w:val="18"/>
                      <w:szCs w:val="18"/>
                    </w:rPr>
                    <w:t>Notes to Editors:</w:t>
                  </w:r>
                </w:p>
                <w:p w:rsidR="008A320A" w:rsidRPr="008A320A" w:rsidRDefault="00840DC4" w:rsidP="001658D7">
                  <w:pPr>
                    <w:spacing w:before="60" w:after="60"/>
                    <w:jc w:val="both"/>
                    <w:rPr>
                      <w:rFonts w:ascii="Arial" w:hAnsi="Arial" w:cs="Arial"/>
                      <w:sz w:val="18"/>
                      <w:szCs w:val="18"/>
                    </w:rPr>
                  </w:pPr>
                  <w:hyperlink r:id="rId9" w:history="1">
                    <w:r w:rsidR="008A320A" w:rsidRPr="008A320A">
                      <w:rPr>
                        <w:rStyle w:val="Hyperlink"/>
                        <w:rFonts w:ascii="Arial" w:hAnsi="Arial" w:cs="Arial"/>
                        <w:sz w:val="18"/>
                        <w:szCs w:val="18"/>
                      </w:rPr>
                      <w:t>IHG (InterContinental Hotels Group)</w:t>
                    </w:r>
                  </w:hyperlink>
                  <w:r w:rsidR="008A320A" w:rsidRPr="008A320A">
                    <w:rPr>
                      <w:rFonts w:ascii="Arial" w:hAnsi="Arial" w:cs="Arial"/>
                      <w:sz w:val="18"/>
                      <w:szCs w:val="18"/>
                    </w:rPr>
                    <w:t xml:space="preserve"> [LON:IHG, NYSE:IHG (ADRs)] is a global organisation with a broad portfolio of hotel brands, including </w:t>
                  </w:r>
                  <w:hyperlink r:id="rId10" w:history="1">
                    <w:r w:rsidR="008A320A" w:rsidRPr="008A320A">
                      <w:rPr>
                        <w:rStyle w:val="Hyperlink"/>
                        <w:rFonts w:ascii="Arial" w:hAnsi="Arial" w:cs="Arial"/>
                        <w:sz w:val="18"/>
                        <w:szCs w:val="18"/>
                      </w:rPr>
                      <w:t>InterContinental® Hotels &amp; Resorts</w:t>
                    </w:r>
                  </w:hyperlink>
                  <w:r w:rsidR="008A320A" w:rsidRPr="008A320A">
                    <w:rPr>
                      <w:rFonts w:ascii="Arial" w:hAnsi="Arial" w:cs="Arial"/>
                      <w:sz w:val="18"/>
                      <w:szCs w:val="18"/>
                    </w:rPr>
                    <w:t xml:space="preserve">, </w:t>
                  </w:r>
                  <w:hyperlink r:id="rId11" w:history="1">
                    <w:r w:rsidR="008A320A" w:rsidRPr="008A320A">
                      <w:rPr>
                        <w:rStyle w:val="Hyperlink"/>
                        <w:rFonts w:ascii="Arial" w:hAnsi="Arial" w:cs="Arial"/>
                        <w:sz w:val="18"/>
                        <w:szCs w:val="18"/>
                      </w:rPr>
                      <w:t>Kimpton Hotels &amp; Restaurants</w:t>
                    </w:r>
                  </w:hyperlink>
                  <w:r w:rsidR="008A320A" w:rsidRPr="008A320A">
                    <w:rPr>
                      <w:rFonts w:ascii="Arial" w:hAnsi="Arial" w:cs="Arial"/>
                      <w:sz w:val="18"/>
                      <w:szCs w:val="18"/>
                    </w:rPr>
                    <w:t xml:space="preserve">, </w:t>
                  </w:r>
                  <w:hyperlink r:id="rId12" w:history="1">
                    <w:r w:rsidR="008A320A" w:rsidRPr="008A320A">
                      <w:rPr>
                        <w:rStyle w:val="Hyperlink"/>
                        <w:rFonts w:ascii="Arial" w:hAnsi="Arial" w:cs="Arial"/>
                        <w:sz w:val="18"/>
                        <w:szCs w:val="18"/>
                      </w:rPr>
                      <w:t>HUALUXE® Hotels and Resorts</w:t>
                    </w:r>
                  </w:hyperlink>
                  <w:r w:rsidR="008A320A" w:rsidRPr="008A320A">
                    <w:rPr>
                      <w:rFonts w:ascii="Arial" w:hAnsi="Arial" w:cs="Arial"/>
                      <w:sz w:val="18"/>
                      <w:szCs w:val="18"/>
                    </w:rPr>
                    <w:t xml:space="preserve">, </w:t>
                  </w:r>
                  <w:hyperlink r:id="rId13" w:history="1">
                    <w:r w:rsidR="008A320A" w:rsidRPr="008A320A">
                      <w:rPr>
                        <w:rStyle w:val="Hyperlink"/>
                        <w:rFonts w:ascii="Arial" w:hAnsi="Arial" w:cs="Arial"/>
                        <w:sz w:val="18"/>
                        <w:szCs w:val="18"/>
                      </w:rPr>
                      <w:t>Crowne Plaza® Hotels &amp; Resorts</w:t>
                    </w:r>
                  </w:hyperlink>
                  <w:r w:rsidR="008A320A" w:rsidRPr="008A320A">
                    <w:rPr>
                      <w:rFonts w:ascii="Arial" w:hAnsi="Arial" w:cs="Arial"/>
                      <w:sz w:val="18"/>
                      <w:szCs w:val="18"/>
                    </w:rPr>
                    <w:t xml:space="preserve">, </w:t>
                  </w:r>
                  <w:hyperlink r:id="rId14" w:history="1">
                    <w:r w:rsidR="008A320A" w:rsidRPr="008A320A">
                      <w:rPr>
                        <w:rStyle w:val="Hyperlink"/>
                        <w:rFonts w:ascii="Arial" w:hAnsi="Arial" w:cs="Arial"/>
                        <w:sz w:val="18"/>
                        <w:szCs w:val="18"/>
                      </w:rPr>
                      <w:t>Hotel Indigo®</w:t>
                    </w:r>
                  </w:hyperlink>
                  <w:r w:rsidR="008A320A" w:rsidRPr="008A320A">
                    <w:rPr>
                      <w:rFonts w:ascii="Arial" w:hAnsi="Arial" w:cs="Arial"/>
                      <w:sz w:val="18"/>
                      <w:szCs w:val="18"/>
                    </w:rPr>
                    <w:t xml:space="preserve">, </w:t>
                  </w:r>
                  <w:hyperlink r:id="rId15" w:history="1">
                    <w:r w:rsidR="008A320A" w:rsidRPr="008A320A">
                      <w:rPr>
                        <w:rStyle w:val="Hyperlink"/>
                        <w:rFonts w:ascii="Arial" w:hAnsi="Arial" w:cs="Arial"/>
                        <w:sz w:val="18"/>
                        <w:szCs w:val="18"/>
                      </w:rPr>
                      <w:t>EVEN™ Hotels</w:t>
                    </w:r>
                  </w:hyperlink>
                  <w:r w:rsidR="008A320A" w:rsidRPr="008A320A">
                    <w:rPr>
                      <w:rFonts w:ascii="Arial" w:hAnsi="Arial" w:cs="Arial"/>
                      <w:sz w:val="18"/>
                      <w:szCs w:val="18"/>
                    </w:rPr>
                    <w:t xml:space="preserve">, </w:t>
                  </w:r>
                  <w:hyperlink r:id="rId16" w:history="1">
                    <w:r w:rsidR="008A320A" w:rsidRPr="008A320A">
                      <w:rPr>
                        <w:rStyle w:val="Hyperlink"/>
                        <w:rFonts w:ascii="Arial" w:hAnsi="Arial" w:cs="Arial"/>
                        <w:sz w:val="18"/>
                        <w:szCs w:val="18"/>
                      </w:rPr>
                      <w:t>Holiday Inn® Hotels &amp; Resorts</w:t>
                    </w:r>
                  </w:hyperlink>
                  <w:r w:rsidR="008A320A" w:rsidRPr="008A320A">
                    <w:rPr>
                      <w:rFonts w:ascii="Arial" w:hAnsi="Arial" w:cs="Arial"/>
                      <w:sz w:val="18"/>
                      <w:szCs w:val="18"/>
                    </w:rPr>
                    <w:t xml:space="preserve">, </w:t>
                  </w:r>
                  <w:hyperlink r:id="rId17" w:history="1">
                    <w:r w:rsidR="008A320A" w:rsidRPr="008A320A">
                      <w:rPr>
                        <w:rStyle w:val="Hyperlink"/>
                        <w:rFonts w:ascii="Arial" w:hAnsi="Arial" w:cs="Arial"/>
                        <w:sz w:val="18"/>
                        <w:szCs w:val="18"/>
                      </w:rPr>
                      <w:t>Holiday Inn Express®</w:t>
                    </w:r>
                  </w:hyperlink>
                  <w:r w:rsidR="008A320A" w:rsidRPr="008A320A">
                    <w:rPr>
                      <w:rFonts w:ascii="Arial" w:hAnsi="Arial" w:cs="Arial"/>
                      <w:sz w:val="18"/>
                      <w:szCs w:val="18"/>
                    </w:rPr>
                    <w:t xml:space="preserve">, </w:t>
                  </w:r>
                  <w:hyperlink r:id="rId18" w:history="1">
                    <w:r w:rsidR="008A320A" w:rsidRPr="008A320A">
                      <w:rPr>
                        <w:rStyle w:val="Hyperlink"/>
                        <w:rFonts w:ascii="Arial" w:hAnsi="Arial" w:cs="Arial"/>
                        <w:sz w:val="18"/>
                        <w:szCs w:val="18"/>
                      </w:rPr>
                      <w:t>Staybridge Suites®</w:t>
                    </w:r>
                  </w:hyperlink>
                  <w:r w:rsidR="008A320A" w:rsidRPr="008A320A">
                    <w:rPr>
                      <w:rFonts w:ascii="Arial" w:hAnsi="Arial" w:cs="Arial"/>
                      <w:sz w:val="18"/>
                      <w:szCs w:val="18"/>
                    </w:rPr>
                    <w:t xml:space="preserve"> and </w:t>
                  </w:r>
                  <w:hyperlink r:id="rId19" w:history="1">
                    <w:r w:rsidR="008A320A" w:rsidRPr="008A320A">
                      <w:rPr>
                        <w:rStyle w:val="Hyperlink"/>
                        <w:rFonts w:ascii="Arial" w:hAnsi="Arial" w:cs="Arial"/>
                        <w:sz w:val="18"/>
                        <w:szCs w:val="18"/>
                      </w:rPr>
                      <w:t>Candlewood Suites®</w:t>
                    </w:r>
                  </w:hyperlink>
                  <w:r w:rsidR="008A320A" w:rsidRPr="008A320A">
                    <w:rPr>
                      <w:rFonts w:ascii="Arial" w:hAnsi="Arial" w:cs="Arial"/>
                      <w:sz w:val="18"/>
                      <w:szCs w:val="18"/>
                    </w:rPr>
                    <w:t xml:space="preserve">. </w:t>
                  </w:r>
                </w:p>
                <w:p w:rsidR="008A320A" w:rsidRPr="008A320A" w:rsidRDefault="008A320A" w:rsidP="001658D7">
                  <w:pPr>
                    <w:spacing w:before="60" w:after="60"/>
                    <w:jc w:val="both"/>
                    <w:rPr>
                      <w:rFonts w:ascii="Arial" w:hAnsi="Arial" w:cs="Arial"/>
                      <w:sz w:val="18"/>
                      <w:szCs w:val="18"/>
                    </w:rPr>
                  </w:pPr>
                  <w:r w:rsidRPr="008A320A">
                    <w:rPr>
                      <w:rFonts w:ascii="Arial" w:hAnsi="Arial" w:cs="Arial"/>
                      <w:sz w:val="18"/>
                      <w:szCs w:val="18"/>
                    </w:rPr>
                    <w:t xml:space="preserve">IHG manages </w:t>
                  </w:r>
                  <w:hyperlink r:id="rId20" w:history="1">
                    <w:r w:rsidRPr="008A320A">
                      <w:rPr>
                        <w:rStyle w:val="Hyperlink"/>
                        <w:rFonts w:ascii="Arial" w:hAnsi="Arial" w:cs="Arial"/>
                        <w:sz w:val="18"/>
                        <w:szCs w:val="18"/>
                      </w:rPr>
                      <w:t>IHG® Rewards Club</w:t>
                    </w:r>
                  </w:hyperlink>
                  <w:r w:rsidRPr="008A320A">
                    <w:rPr>
                      <w:rFonts w:ascii="Arial" w:hAnsi="Arial" w:cs="Arial"/>
                      <w:sz w:val="18"/>
                      <w:szCs w:val="18"/>
                    </w:rPr>
                    <w:t>, the world’s first and largest hotel loyalty programme with nearly 86 million members worldwide. The programme was relaunched in July 2013, offering enhanced benefits for members including free internet across all hotels, globally.</w:t>
                  </w:r>
                </w:p>
                <w:p w:rsidR="008A320A" w:rsidRPr="008A320A" w:rsidRDefault="008A320A" w:rsidP="001658D7">
                  <w:pPr>
                    <w:spacing w:before="60" w:after="60"/>
                    <w:jc w:val="both"/>
                    <w:rPr>
                      <w:rFonts w:ascii="Arial" w:hAnsi="Arial" w:cs="Arial"/>
                      <w:sz w:val="18"/>
                      <w:szCs w:val="18"/>
                    </w:rPr>
                  </w:pPr>
                  <w:r w:rsidRPr="008A320A">
                    <w:rPr>
                      <w:rFonts w:ascii="Arial" w:hAnsi="Arial" w:cs="Arial"/>
                      <w:sz w:val="18"/>
                      <w:szCs w:val="18"/>
                    </w:rPr>
                    <w:t xml:space="preserve">IHG franchises, leases, manages or owns more than 4,900 hotels and 720,000 guest rooms in nearly 100 countries, with more than 1,200 hotels in its development pipeline. Over 350,000 people work across IHG’s hotels and corporate offices worldwide. </w:t>
                  </w:r>
                </w:p>
                <w:p w:rsidR="008A320A" w:rsidRPr="008A320A" w:rsidRDefault="00840DC4" w:rsidP="001658D7">
                  <w:pPr>
                    <w:spacing w:before="60" w:after="60"/>
                    <w:jc w:val="both"/>
                    <w:rPr>
                      <w:rFonts w:ascii="Arial" w:hAnsi="Arial" w:cs="Arial"/>
                      <w:sz w:val="18"/>
                      <w:szCs w:val="18"/>
                    </w:rPr>
                  </w:pPr>
                  <w:hyperlink r:id="rId21" w:history="1">
                    <w:r w:rsidR="008A320A" w:rsidRPr="008A320A">
                      <w:rPr>
                        <w:rStyle w:val="Hyperlink"/>
                        <w:rFonts w:ascii="Arial" w:hAnsi="Arial" w:cs="Arial"/>
                        <w:sz w:val="18"/>
                        <w:szCs w:val="18"/>
                      </w:rPr>
                      <w:t>InterContinental Hotels Group PLC</w:t>
                    </w:r>
                  </w:hyperlink>
                  <w:r w:rsidR="008A320A" w:rsidRPr="008A320A">
                    <w:rPr>
                      <w:rFonts w:ascii="Arial" w:hAnsi="Arial" w:cs="Arial"/>
                      <w:sz w:val="18"/>
                      <w:szCs w:val="18"/>
                    </w:rPr>
                    <w:t xml:space="preserve"> is the Group’s holding company and is incorporated in Great Britain and registered in England and Wales.</w:t>
                  </w:r>
                </w:p>
                <w:p w:rsidR="00BC5515" w:rsidRPr="008A320A" w:rsidRDefault="008A320A" w:rsidP="001658D7">
                  <w:pPr>
                    <w:spacing w:before="60" w:after="60"/>
                    <w:jc w:val="both"/>
                    <w:rPr>
                      <w:rFonts w:ascii="Arial" w:hAnsi="Arial" w:cs="Arial"/>
                      <w:sz w:val="18"/>
                      <w:szCs w:val="18"/>
                    </w:rPr>
                  </w:pPr>
                  <w:r w:rsidRPr="008A320A">
                    <w:rPr>
                      <w:rFonts w:ascii="Arial" w:hAnsi="Arial" w:cs="Arial"/>
                      <w:sz w:val="18"/>
                      <w:szCs w:val="18"/>
                    </w:rPr>
                    <w:t xml:space="preserve">Visit </w:t>
                  </w:r>
                  <w:hyperlink r:id="rId22" w:history="1">
                    <w:r w:rsidRPr="008A320A">
                      <w:rPr>
                        <w:rStyle w:val="Hyperlink"/>
                        <w:rFonts w:ascii="Arial" w:hAnsi="Arial" w:cs="Arial"/>
                        <w:sz w:val="18"/>
                        <w:szCs w:val="18"/>
                      </w:rPr>
                      <w:t>www.ihg.com</w:t>
                    </w:r>
                  </w:hyperlink>
                  <w:r w:rsidRPr="008A320A">
                    <w:rPr>
                      <w:rFonts w:ascii="Arial" w:hAnsi="Arial" w:cs="Arial"/>
                      <w:sz w:val="18"/>
                      <w:szCs w:val="18"/>
                    </w:rPr>
                    <w:t xml:space="preserve"> for hotel information and reservations and </w:t>
                  </w:r>
                  <w:hyperlink r:id="rId23" w:history="1">
                    <w:r w:rsidRPr="008A320A">
                      <w:rPr>
                        <w:rStyle w:val="Hyperlink"/>
                        <w:rFonts w:ascii="Arial" w:hAnsi="Arial" w:cs="Arial"/>
                        <w:sz w:val="18"/>
                        <w:szCs w:val="18"/>
                      </w:rPr>
                      <w:t>www.ihgrewardsclub.com</w:t>
                    </w:r>
                  </w:hyperlink>
                  <w:r w:rsidRPr="008A320A">
                    <w:rPr>
                      <w:rFonts w:ascii="Arial" w:hAnsi="Arial" w:cs="Arial"/>
                      <w:sz w:val="18"/>
                      <w:szCs w:val="18"/>
                    </w:rPr>
                    <w:t xml:space="preserve"> for more on IHG Rewards Club. For our latest news, visit: </w:t>
                  </w:r>
                  <w:hyperlink r:id="rId24" w:anchor="ref_media" w:history="1">
                    <w:r w:rsidRPr="008A320A">
                      <w:rPr>
                        <w:rStyle w:val="Hyperlink"/>
                        <w:rFonts w:ascii="Arial" w:hAnsi="Arial" w:cs="Arial"/>
                        <w:sz w:val="18"/>
                        <w:szCs w:val="18"/>
                      </w:rPr>
                      <w:t>www.ihg.com/media</w:t>
                    </w:r>
                  </w:hyperlink>
                  <w:r w:rsidRPr="008A320A">
                    <w:rPr>
                      <w:rFonts w:ascii="Arial" w:hAnsi="Arial" w:cs="Arial"/>
                      <w:sz w:val="18"/>
                      <w:szCs w:val="18"/>
                    </w:rPr>
                    <w:t xml:space="preserve">, </w:t>
                  </w:r>
                  <w:hyperlink r:id="rId25" w:history="1">
                    <w:r w:rsidRPr="008A320A">
                      <w:rPr>
                        <w:rStyle w:val="Hyperlink"/>
                        <w:rFonts w:ascii="Arial" w:hAnsi="Arial" w:cs="Arial"/>
                        <w:sz w:val="18"/>
                        <w:szCs w:val="18"/>
                      </w:rPr>
                      <w:t>www.twitter.com/ihg</w:t>
                    </w:r>
                  </w:hyperlink>
                  <w:r w:rsidRPr="008A320A">
                    <w:rPr>
                      <w:rFonts w:ascii="Arial" w:hAnsi="Arial" w:cs="Arial"/>
                      <w:sz w:val="18"/>
                      <w:szCs w:val="18"/>
                    </w:rPr>
                    <w:t xml:space="preserve">, </w:t>
                  </w:r>
                  <w:hyperlink r:id="rId26" w:history="1">
                    <w:r w:rsidRPr="008A320A">
                      <w:rPr>
                        <w:rStyle w:val="Hyperlink"/>
                        <w:rFonts w:ascii="Arial" w:hAnsi="Arial" w:cs="Arial"/>
                        <w:sz w:val="18"/>
                        <w:szCs w:val="18"/>
                      </w:rPr>
                      <w:t>www.facebook.com/ihg</w:t>
                    </w:r>
                  </w:hyperlink>
                  <w:r w:rsidRPr="008A320A">
                    <w:rPr>
                      <w:rFonts w:ascii="Arial" w:hAnsi="Arial" w:cs="Arial"/>
                      <w:sz w:val="18"/>
                      <w:szCs w:val="18"/>
                    </w:rPr>
                    <w:t xml:space="preserve"> or </w:t>
                  </w:r>
                  <w:hyperlink r:id="rId27" w:history="1">
                    <w:r w:rsidRPr="008A320A">
                      <w:rPr>
                        <w:rStyle w:val="Hyperlink"/>
                        <w:rFonts w:ascii="Arial" w:hAnsi="Arial" w:cs="Arial"/>
                        <w:sz w:val="18"/>
                        <w:szCs w:val="18"/>
                      </w:rPr>
                      <w:t>www.youtube.com/ihgplc</w:t>
                    </w:r>
                  </w:hyperlink>
                  <w:r w:rsidRPr="008A320A">
                    <w:rPr>
                      <w:rFonts w:ascii="Arial" w:hAnsi="Arial" w:cs="Arial"/>
                      <w:sz w:val="18"/>
                      <w:szCs w:val="18"/>
                    </w:rPr>
                    <w:t>.</w:t>
                  </w:r>
                </w:p>
              </w:tc>
            </w:tr>
            <w:tr w:rsidR="00BC5515" w:rsidRPr="009D430E" w:rsidTr="009D430E">
              <w:trPr>
                <w:trHeight w:val="2899"/>
              </w:trPr>
              <w:tc>
                <w:tcPr>
                  <w:tcW w:w="10420" w:type="dxa"/>
                  <w:gridSpan w:val="4"/>
                </w:tcPr>
                <w:p w:rsidR="00BC5515" w:rsidRPr="009D430E" w:rsidRDefault="00BC5515" w:rsidP="001658D7">
                  <w:pPr>
                    <w:spacing w:before="60" w:after="60"/>
                    <w:rPr>
                      <w:rFonts w:ascii="Arial" w:hAnsi="Arial" w:cs="Arial"/>
                      <w:b/>
                      <w:sz w:val="18"/>
                      <w:szCs w:val="18"/>
                    </w:rPr>
                  </w:pPr>
                  <w:r w:rsidRPr="009D430E">
                    <w:rPr>
                      <w:rFonts w:ascii="Arial" w:hAnsi="Arial" w:cs="Arial"/>
                      <w:b/>
                      <w:sz w:val="18"/>
                      <w:szCs w:val="18"/>
                    </w:rPr>
                    <w:t>Cautionary note regarding forward-looking statements:</w:t>
                  </w:r>
                </w:p>
                <w:p w:rsidR="00BC5515" w:rsidRPr="009D430E" w:rsidRDefault="00BC5515" w:rsidP="001658D7">
                  <w:pPr>
                    <w:spacing w:before="60" w:after="60"/>
                    <w:jc w:val="both"/>
                    <w:rPr>
                      <w:rFonts w:ascii="Arial" w:hAnsi="Arial" w:cs="Arial"/>
                      <w:sz w:val="18"/>
                      <w:szCs w:val="18"/>
                    </w:rPr>
                  </w:pPr>
                  <w:r w:rsidRPr="009D430E">
                    <w:rPr>
                      <w:rFonts w:ascii="Arial" w:hAnsi="Arial" w:cs="Arial"/>
                      <w:sz w:val="18"/>
                      <w:szCs w:val="18"/>
                    </w:rPr>
                    <w:t>This announcement contains certain forward-looking statements as defined under United States law (Section 21E of the Securities Exchange Act of 1934) and otherwise.  These forward-looking statements can be identified by the fact that they do not relate only to historical or current facts.  Forward-looking statements often use words such as ‘anticipate’, ‘target’, ‘expect’, ‘estimate’, ‘intend’, ‘plan’, ‘goal’, ‘believe’ or other words of similar meaning.  These statements are based on assumptions and assessments made by InterContinental Hotels Group PLC’s management in light of their experience and their perception of historical trends, current conditions, expected future developments and other factors they believe to be appropriate.  By their nature, forward-looking statements are inherently predictive, speculative and involve risk and uncertainty.  There are a number of factors that could cause actual results and developments to differ materially from those expressed in or implied by, such forward-looking statements.  The main factors that could affect the business and the financial results are described in the ‘Risk Factors’ section in the current InterContinental Hotels Group PLC’s Annual report and Form 20-F filed with the United States Securities and Exchange Commission.</w:t>
                  </w:r>
                </w:p>
              </w:tc>
            </w:tr>
          </w:tbl>
          <w:p w:rsidR="004E33A8" w:rsidRPr="009D430E" w:rsidRDefault="004E33A8" w:rsidP="009D430E">
            <w:pPr>
              <w:spacing w:before="60" w:after="60"/>
              <w:rPr>
                <w:rFonts w:ascii="Arial" w:hAnsi="Arial" w:cs="Arial"/>
                <w:b/>
              </w:rPr>
            </w:pPr>
          </w:p>
        </w:tc>
      </w:tr>
    </w:tbl>
    <w:p w:rsidR="00D22B4B" w:rsidRPr="009D430E" w:rsidRDefault="00D22B4B" w:rsidP="009D430E">
      <w:pPr>
        <w:spacing w:before="60" w:after="60"/>
        <w:outlineLvl w:val="0"/>
        <w:rPr>
          <w:rFonts w:ascii="Arial" w:hAnsi="Arial" w:cs="Arial"/>
        </w:rPr>
      </w:pPr>
    </w:p>
    <w:sectPr w:rsidR="00D22B4B" w:rsidRPr="009D430E" w:rsidSect="00BF4F0F">
      <w:footerReference w:type="even" r:id="rId28"/>
      <w:footerReference w:type="default" r:id="rId29"/>
      <w:footnotePr>
        <w:numRestart w:val="eachPage"/>
      </w:footnotePr>
      <w:pgSz w:w="11906" w:h="16838" w:code="9"/>
      <w:pgMar w:top="289" w:right="720" w:bottom="993" w:left="720"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C4" w:rsidRDefault="00840DC4">
      <w:r>
        <w:separator/>
      </w:r>
    </w:p>
  </w:endnote>
  <w:endnote w:type="continuationSeparator" w:id="0">
    <w:p w:rsidR="00840DC4" w:rsidRDefault="0084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B61" w:rsidRDefault="00B70B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0B61" w:rsidRDefault="00B70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B61" w:rsidRDefault="00B70B61" w:rsidP="00A56504">
    <w:pPr>
      <w:pStyle w:val="Footer"/>
      <w:jc w:val="center"/>
      <w:rPr>
        <w:rStyle w:val="PageNumber"/>
        <w:rFonts w:ascii="Arial" w:hAnsi="Arial" w:cs="Arial"/>
        <w:sz w:val="16"/>
        <w:szCs w:val="16"/>
      </w:rPr>
    </w:pPr>
    <w:r w:rsidRPr="008B1930">
      <w:rPr>
        <w:rFonts w:ascii="Arial" w:hAnsi="Arial" w:cs="Arial"/>
        <w:sz w:val="16"/>
        <w:szCs w:val="16"/>
      </w:rPr>
      <w:t xml:space="preserve">Page </w:t>
    </w:r>
    <w:r w:rsidRPr="008B1930">
      <w:rPr>
        <w:rStyle w:val="PageNumber"/>
        <w:rFonts w:ascii="Arial" w:hAnsi="Arial" w:cs="Arial"/>
        <w:sz w:val="16"/>
        <w:szCs w:val="16"/>
      </w:rPr>
      <w:fldChar w:fldCharType="begin"/>
    </w:r>
    <w:r w:rsidRPr="008B1930">
      <w:rPr>
        <w:rStyle w:val="PageNumber"/>
        <w:rFonts w:ascii="Arial" w:hAnsi="Arial" w:cs="Arial"/>
        <w:sz w:val="16"/>
        <w:szCs w:val="16"/>
      </w:rPr>
      <w:instrText xml:space="preserve"> PAGE </w:instrText>
    </w:r>
    <w:r w:rsidRPr="008B1930">
      <w:rPr>
        <w:rStyle w:val="PageNumber"/>
        <w:rFonts w:ascii="Arial" w:hAnsi="Arial" w:cs="Arial"/>
        <w:sz w:val="16"/>
        <w:szCs w:val="16"/>
      </w:rPr>
      <w:fldChar w:fldCharType="separate"/>
    </w:r>
    <w:r w:rsidR="00E118E6">
      <w:rPr>
        <w:rStyle w:val="PageNumber"/>
        <w:rFonts w:ascii="Arial" w:hAnsi="Arial" w:cs="Arial"/>
        <w:noProof/>
        <w:sz w:val="16"/>
        <w:szCs w:val="16"/>
      </w:rPr>
      <w:t>3</w:t>
    </w:r>
    <w:r w:rsidRPr="008B1930">
      <w:rPr>
        <w:rStyle w:val="PageNumber"/>
        <w:rFonts w:ascii="Arial" w:hAnsi="Arial" w:cs="Arial"/>
        <w:sz w:val="16"/>
        <w:szCs w:val="16"/>
      </w:rPr>
      <w:fldChar w:fldCharType="end"/>
    </w:r>
    <w:r w:rsidRPr="008B1930">
      <w:rPr>
        <w:rStyle w:val="PageNumber"/>
        <w:rFonts w:ascii="Arial" w:hAnsi="Arial" w:cs="Arial"/>
        <w:sz w:val="16"/>
        <w:szCs w:val="16"/>
      </w:rPr>
      <w:t xml:space="preserve"> of </w:t>
    </w:r>
    <w:r w:rsidRPr="008B1930">
      <w:rPr>
        <w:rStyle w:val="PageNumber"/>
        <w:rFonts w:ascii="Arial" w:hAnsi="Arial" w:cs="Arial"/>
        <w:sz w:val="16"/>
        <w:szCs w:val="16"/>
      </w:rPr>
      <w:fldChar w:fldCharType="begin"/>
    </w:r>
    <w:r w:rsidRPr="008B1930">
      <w:rPr>
        <w:rStyle w:val="PageNumber"/>
        <w:rFonts w:ascii="Arial" w:hAnsi="Arial" w:cs="Arial"/>
        <w:sz w:val="16"/>
        <w:szCs w:val="16"/>
      </w:rPr>
      <w:instrText xml:space="preserve"> NUMPAGES </w:instrText>
    </w:r>
    <w:r w:rsidRPr="008B1930">
      <w:rPr>
        <w:rStyle w:val="PageNumber"/>
        <w:rFonts w:ascii="Arial" w:hAnsi="Arial" w:cs="Arial"/>
        <w:sz w:val="16"/>
        <w:szCs w:val="16"/>
      </w:rPr>
      <w:fldChar w:fldCharType="separate"/>
    </w:r>
    <w:r w:rsidR="00E118E6">
      <w:rPr>
        <w:rStyle w:val="PageNumber"/>
        <w:rFonts w:ascii="Arial" w:hAnsi="Arial" w:cs="Arial"/>
        <w:noProof/>
        <w:sz w:val="16"/>
        <w:szCs w:val="16"/>
      </w:rPr>
      <w:t>4</w:t>
    </w:r>
    <w:r w:rsidRPr="008B1930">
      <w:rPr>
        <w:rStyle w:val="PageNumber"/>
        <w:rFonts w:ascii="Arial" w:hAnsi="Arial" w:cs="Arial"/>
        <w:sz w:val="16"/>
        <w:szCs w:val="16"/>
      </w:rPr>
      <w:fldChar w:fldCharType="end"/>
    </w:r>
  </w:p>
  <w:p w:rsidR="00B70B61" w:rsidRDefault="00B70B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C4" w:rsidRDefault="00840DC4">
      <w:r>
        <w:separator/>
      </w:r>
    </w:p>
  </w:footnote>
  <w:footnote w:type="continuationSeparator" w:id="0">
    <w:p w:rsidR="00840DC4" w:rsidRDefault="00840DC4">
      <w:r>
        <w:continuationSeparator/>
      </w:r>
    </w:p>
  </w:footnote>
  <w:footnote w:id="1">
    <w:p w:rsidR="003F4A19" w:rsidRPr="003F4A19" w:rsidRDefault="003F4A19">
      <w:pPr>
        <w:pStyle w:val="FootnoteText"/>
        <w:rPr>
          <w:rFonts w:ascii="Arial" w:hAnsi="Arial" w:cs="Arial"/>
          <w:sz w:val="16"/>
          <w:szCs w:val="16"/>
        </w:rPr>
      </w:pPr>
      <w:r w:rsidRPr="003F4A19">
        <w:rPr>
          <w:rStyle w:val="FootnoteReference"/>
          <w:rFonts w:ascii="Arial" w:hAnsi="Arial" w:cs="Arial"/>
          <w:sz w:val="16"/>
          <w:szCs w:val="16"/>
        </w:rPr>
        <w:footnoteRef/>
      </w:r>
      <w:r w:rsidRPr="003F4A19">
        <w:rPr>
          <w:rFonts w:ascii="Arial" w:hAnsi="Arial" w:cs="Arial"/>
          <w:sz w:val="16"/>
          <w:szCs w:val="16"/>
        </w:rPr>
        <w:t xml:space="preserve"> RevPAR growth </w:t>
      </w:r>
      <w:r>
        <w:rPr>
          <w:rFonts w:ascii="Arial" w:hAnsi="Arial" w:cs="Arial"/>
          <w:sz w:val="16"/>
          <w:szCs w:val="16"/>
        </w:rPr>
        <w:t>is</w:t>
      </w:r>
      <w:r w:rsidR="00A351E6">
        <w:rPr>
          <w:rFonts w:ascii="Arial" w:hAnsi="Arial" w:cs="Arial"/>
          <w:sz w:val="16"/>
          <w:szCs w:val="16"/>
        </w:rPr>
        <w:t xml:space="preserve"> at constant </w:t>
      </w:r>
      <w:r w:rsidRPr="003F4A19">
        <w:rPr>
          <w:rFonts w:ascii="Arial" w:hAnsi="Arial" w:cs="Arial"/>
          <w:sz w:val="16"/>
          <w:szCs w:val="16"/>
        </w:rPr>
        <w:t>exchange rates (CER) unless otherwise stated</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824D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A19F2"/>
    <w:multiLevelType w:val="hybridMultilevel"/>
    <w:tmpl w:val="1C34579E"/>
    <w:lvl w:ilvl="0" w:tplc="20CA6FCA">
      <w:start w:val="1"/>
      <w:numFmt w:val="bullet"/>
      <w:lvlText w:val="o"/>
      <w:lvlJc w:val="left"/>
      <w:pPr>
        <w:ind w:left="720" w:hanging="360"/>
      </w:pPr>
      <w:rPr>
        <w:rFonts w:ascii="Courier New" w:hAnsi="Courier New" w:hint="default"/>
        <w:color w:val="auto"/>
        <w:sz w:val="16"/>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7226E"/>
    <w:multiLevelType w:val="multilevel"/>
    <w:tmpl w:val="FC8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F088D"/>
    <w:multiLevelType w:val="hybridMultilevel"/>
    <w:tmpl w:val="86948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916D8E"/>
    <w:multiLevelType w:val="hybridMultilevel"/>
    <w:tmpl w:val="E00EF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31726F"/>
    <w:multiLevelType w:val="hybridMultilevel"/>
    <w:tmpl w:val="DFFE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99149E"/>
    <w:multiLevelType w:val="hybridMultilevel"/>
    <w:tmpl w:val="6598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D2C23"/>
    <w:multiLevelType w:val="hybridMultilevel"/>
    <w:tmpl w:val="E5E2C2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24476DF1"/>
    <w:multiLevelType w:val="hybridMultilevel"/>
    <w:tmpl w:val="098A390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8530C0"/>
    <w:multiLevelType w:val="hybridMultilevel"/>
    <w:tmpl w:val="CC4C29D4"/>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1E0CE7"/>
    <w:multiLevelType w:val="hybridMultilevel"/>
    <w:tmpl w:val="702CD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1C0E45"/>
    <w:multiLevelType w:val="hybridMultilevel"/>
    <w:tmpl w:val="3A4E4F66"/>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EE1B13"/>
    <w:multiLevelType w:val="hybridMultilevel"/>
    <w:tmpl w:val="D30C227E"/>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D42CB"/>
    <w:multiLevelType w:val="hybridMultilevel"/>
    <w:tmpl w:val="43DA945E"/>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85C65"/>
    <w:multiLevelType w:val="hybridMultilevel"/>
    <w:tmpl w:val="9248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D173CAC"/>
    <w:multiLevelType w:val="multilevel"/>
    <w:tmpl w:val="A9C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95AD0"/>
    <w:multiLevelType w:val="hybridMultilevel"/>
    <w:tmpl w:val="2A44C1A0"/>
    <w:lvl w:ilvl="0" w:tplc="47A865F6">
      <w:start w:val="6"/>
      <w:numFmt w:val="bullet"/>
      <w:lvlText w:val="-"/>
      <w:lvlJc w:val="left"/>
      <w:pPr>
        <w:ind w:left="754" w:hanging="360"/>
      </w:pPr>
      <w:rPr>
        <w:rFonts w:ascii="Arial" w:eastAsia="Times New Roman" w:hAnsi="Aria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6B9748DB"/>
    <w:multiLevelType w:val="hybridMultilevel"/>
    <w:tmpl w:val="72CC84AE"/>
    <w:lvl w:ilvl="0" w:tplc="89CCC5A4">
      <w:start w:val="5"/>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ED76AD7"/>
    <w:multiLevelType w:val="hybridMultilevel"/>
    <w:tmpl w:val="F662AEA8"/>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84704B"/>
    <w:multiLevelType w:val="hybridMultilevel"/>
    <w:tmpl w:val="FE5EE676"/>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2D14C5"/>
    <w:multiLevelType w:val="hybridMultilevel"/>
    <w:tmpl w:val="5EF684A0"/>
    <w:lvl w:ilvl="0" w:tplc="1D98ADEA">
      <w:numFmt w:val="bullet"/>
      <w:lvlText w:val="•"/>
      <w:lvlJc w:val="left"/>
      <w:pPr>
        <w:ind w:left="720" w:hanging="360"/>
      </w:pPr>
      <w:rPr>
        <w:rFonts w:ascii="Arial" w:eastAsia="Times New Roman" w:hAnsi="Aria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210693"/>
    <w:multiLevelType w:val="hybridMultilevel"/>
    <w:tmpl w:val="B20054AC"/>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8C3135"/>
    <w:multiLevelType w:val="hybridMultilevel"/>
    <w:tmpl w:val="250CC882"/>
    <w:lvl w:ilvl="0" w:tplc="DB9EEEEA">
      <w:start w:val="1"/>
      <w:numFmt w:val="lowerLetter"/>
      <w:lvlText w:val="%1."/>
      <w:lvlJc w:val="left"/>
      <w:pPr>
        <w:ind w:left="360" w:hanging="360"/>
      </w:pPr>
      <w:rPr>
        <w:rFonts w:cs="Times New Roman" w:hint="default"/>
        <w:color w:val="00000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8"/>
  </w:num>
  <w:num w:numId="2">
    <w:abstractNumId w:val="19"/>
  </w:num>
  <w:num w:numId="3">
    <w:abstractNumId w:val="16"/>
  </w:num>
  <w:num w:numId="4">
    <w:abstractNumId w:val="0"/>
  </w:num>
  <w:num w:numId="5">
    <w:abstractNumId w:val="21"/>
  </w:num>
  <w:num w:numId="6">
    <w:abstractNumId w:val="13"/>
  </w:num>
  <w:num w:numId="7">
    <w:abstractNumId w:val="5"/>
  </w:num>
  <w:num w:numId="8">
    <w:abstractNumId w:val="20"/>
  </w:num>
  <w:num w:numId="9">
    <w:abstractNumId w:val="10"/>
  </w:num>
  <w:num w:numId="10">
    <w:abstractNumId w:val="7"/>
  </w:num>
  <w:num w:numId="11">
    <w:abstractNumId w:val="22"/>
  </w:num>
  <w:num w:numId="12">
    <w:abstractNumId w:val="14"/>
  </w:num>
  <w:num w:numId="13">
    <w:abstractNumId w:val="4"/>
  </w:num>
  <w:num w:numId="14">
    <w:abstractNumId w:val="1"/>
  </w:num>
  <w:num w:numId="15">
    <w:abstractNumId w:val="11"/>
  </w:num>
  <w:num w:numId="16">
    <w:abstractNumId w:val="17"/>
  </w:num>
  <w:num w:numId="17">
    <w:abstractNumId w:val="3"/>
  </w:num>
  <w:num w:numId="18">
    <w:abstractNumId w:val="2"/>
  </w:num>
  <w:num w:numId="19">
    <w:abstractNumId w:val="15"/>
  </w:num>
  <w:num w:numId="20">
    <w:abstractNumId w:val="6"/>
  </w:num>
  <w:num w:numId="21">
    <w:abstractNumId w:val="18"/>
  </w:num>
  <w:num w:numId="22">
    <w:abstractNumId w:val="12"/>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22"/>
    <w:rsid w:val="00000BFC"/>
    <w:rsid w:val="00001244"/>
    <w:rsid w:val="00002A69"/>
    <w:rsid w:val="00003110"/>
    <w:rsid w:val="00004335"/>
    <w:rsid w:val="00004EAA"/>
    <w:rsid w:val="000066B3"/>
    <w:rsid w:val="000100E4"/>
    <w:rsid w:val="00010F44"/>
    <w:rsid w:val="0001109C"/>
    <w:rsid w:val="00012207"/>
    <w:rsid w:val="000128D3"/>
    <w:rsid w:val="0001360E"/>
    <w:rsid w:val="00015A47"/>
    <w:rsid w:val="00016061"/>
    <w:rsid w:val="00016E8C"/>
    <w:rsid w:val="0001723D"/>
    <w:rsid w:val="0002015A"/>
    <w:rsid w:val="0002177F"/>
    <w:rsid w:val="000220E6"/>
    <w:rsid w:val="000225CF"/>
    <w:rsid w:val="00022722"/>
    <w:rsid w:val="00024570"/>
    <w:rsid w:val="000262AC"/>
    <w:rsid w:val="00026DB7"/>
    <w:rsid w:val="00030786"/>
    <w:rsid w:val="00031016"/>
    <w:rsid w:val="00031022"/>
    <w:rsid w:val="000312CC"/>
    <w:rsid w:val="0003189A"/>
    <w:rsid w:val="0003236C"/>
    <w:rsid w:val="00032C2C"/>
    <w:rsid w:val="00035307"/>
    <w:rsid w:val="00037219"/>
    <w:rsid w:val="00037520"/>
    <w:rsid w:val="0004017E"/>
    <w:rsid w:val="00040432"/>
    <w:rsid w:val="00040894"/>
    <w:rsid w:val="00042A32"/>
    <w:rsid w:val="00042BD5"/>
    <w:rsid w:val="000441CF"/>
    <w:rsid w:val="00044B78"/>
    <w:rsid w:val="00047EBF"/>
    <w:rsid w:val="00050235"/>
    <w:rsid w:val="00050727"/>
    <w:rsid w:val="00051371"/>
    <w:rsid w:val="00051520"/>
    <w:rsid w:val="00053443"/>
    <w:rsid w:val="00053821"/>
    <w:rsid w:val="00053DAE"/>
    <w:rsid w:val="0005448B"/>
    <w:rsid w:val="00055A59"/>
    <w:rsid w:val="000565AE"/>
    <w:rsid w:val="000574C6"/>
    <w:rsid w:val="000601F3"/>
    <w:rsid w:val="00060974"/>
    <w:rsid w:val="00062966"/>
    <w:rsid w:val="00062CCB"/>
    <w:rsid w:val="00063672"/>
    <w:rsid w:val="00063A99"/>
    <w:rsid w:val="000650F2"/>
    <w:rsid w:val="00065923"/>
    <w:rsid w:val="00067481"/>
    <w:rsid w:val="000678F0"/>
    <w:rsid w:val="000705DB"/>
    <w:rsid w:val="00070C93"/>
    <w:rsid w:val="00070D57"/>
    <w:rsid w:val="00071F3B"/>
    <w:rsid w:val="000720D5"/>
    <w:rsid w:val="000756B1"/>
    <w:rsid w:val="000772C1"/>
    <w:rsid w:val="00077A55"/>
    <w:rsid w:val="0008291D"/>
    <w:rsid w:val="00082C63"/>
    <w:rsid w:val="00083FA0"/>
    <w:rsid w:val="00083FC6"/>
    <w:rsid w:val="00085138"/>
    <w:rsid w:val="00085DA8"/>
    <w:rsid w:val="00085FC0"/>
    <w:rsid w:val="000871C5"/>
    <w:rsid w:val="000878C2"/>
    <w:rsid w:val="00090C5A"/>
    <w:rsid w:val="00090F0C"/>
    <w:rsid w:val="0009144A"/>
    <w:rsid w:val="00091D3C"/>
    <w:rsid w:val="000920E6"/>
    <w:rsid w:val="00092DC9"/>
    <w:rsid w:val="0009318E"/>
    <w:rsid w:val="0009430A"/>
    <w:rsid w:val="000945E0"/>
    <w:rsid w:val="000949B5"/>
    <w:rsid w:val="00094BCA"/>
    <w:rsid w:val="00096BD1"/>
    <w:rsid w:val="000A0F3A"/>
    <w:rsid w:val="000A2F7A"/>
    <w:rsid w:val="000A3C4F"/>
    <w:rsid w:val="000A44DF"/>
    <w:rsid w:val="000A6B70"/>
    <w:rsid w:val="000A6E09"/>
    <w:rsid w:val="000A7836"/>
    <w:rsid w:val="000B09BE"/>
    <w:rsid w:val="000B15B1"/>
    <w:rsid w:val="000B237D"/>
    <w:rsid w:val="000B3478"/>
    <w:rsid w:val="000B4DD6"/>
    <w:rsid w:val="000B518B"/>
    <w:rsid w:val="000B51EE"/>
    <w:rsid w:val="000B5F55"/>
    <w:rsid w:val="000C03D4"/>
    <w:rsid w:val="000C0CDC"/>
    <w:rsid w:val="000C2602"/>
    <w:rsid w:val="000C4CBC"/>
    <w:rsid w:val="000C5701"/>
    <w:rsid w:val="000C592E"/>
    <w:rsid w:val="000C6B2C"/>
    <w:rsid w:val="000C7953"/>
    <w:rsid w:val="000D02AE"/>
    <w:rsid w:val="000D172F"/>
    <w:rsid w:val="000D2F2A"/>
    <w:rsid w:val="000D3E9E"/>
    <w:rsid w:val="000D66C1"/>
    <w:rsid w:val="000E0338"/>
    <w:rsid w:val="000E065C"/>
    <w:rsid w:val="000E0768"/>
    <w:rsid w:val="000E17F5"/>
    <w:rsid w:val="000E2979"/>
    <w:rsid w:val="000E2E9C"/>
    <w:rsid w:val="000E5A8D"/>
    <w:rsid w:val="000E6AE2"/>
    <w:rsid w:val="000F0F4E"/>
    <w:rsid w:val="000F192E"/>
    <w:rsid w:val="000F27FB"/>
    <w:rsid w:val="000F34D0"/>
    <w:rsid w:val="000F48A9"/>
    <w:rsid w:val="000F5926"/>
    <w:rsid w:val="000F6B43"/>
    <w:rsid w:val="00100086"/>
    <w:rsid w:val="00100751"/>
    <w:rsid w:val="00100D74"/>
    <w:rsid w:val="00101812"/>
    <w:rsid w:val="001018E9"/>
    <w:rsid w:val="00102542"/>
    <w:rsid w:val="00103A9C"/>
    <w:rsid w:val="00104812"/>
    <w:rsid w:val="00104CA8"/>
    <w:rsid w:val="00104EBF"/>
    <w:rsid w:val="001051E9"/>
    <w:rsid w:val="001052FE"/>
    <w:rsid w:val="001076D4"/>
    <w:rsid w:val="00107A2B"/>
    <w:rsid w:val="00111BF4"/>
    <w:rsid w:val="001123BA"/>
    <w:rsid w:val="00112495"/>
    <w:rsid w:val="0011690C"/>
    <w:rsid w:val="00117E4B"/>
    <w:rsid w:val="00121CCC"/>
    <w:rsid w:val="00121E89"/>
    <w:rsid w:val="001231BF"/>
    <w:rsid w:val="00123840"/>
    <w:rsid w:val="00123936"/>
    <w:rsid w:val="00130406"/>
    <w:rsid w:val="0013064F"/>
    <w:rsid w:val="00130970"/>
    <w:rsid w:val="00130E02"/>
    <w:rsid w:val="00132568"/>
    <w:rsid w:val="001326A7"/>
    <w:rsid w:val="0013355F"/>
    <w:rsid w:val="00133EA4"/>
    <w:rsid w:val="00133FBB"/>
    <w:rsid w:val="0014074F"/>
    <w:rsid w:val="00142AB6"/>
    <w:rsid w:val="00142CF1"/>
    <w:rsid w:val="00143D43"/>
    <w:rsid w:val="00143D64"/>
    <w:rsid w:val="0014465D"/>
    <w:rsid w:val="00146241"/>
    <w:rsid w:val="00146E69"/>
    <w:rsid w:val="00150CBE"/>
    <w:rsid w:val="00151D4B"/>
    <w:rsid w:val="001521FA"/>
    <w:rsid w:val="001544CD"/>
    <w:rsid w:val="00154851"/>
    <w:rsid w:val="00155DE4"/>
    <w:rsid w:val="001574C0"/>
    <w:rsid w:val="0016042E"/>
    <w:rsid w:val="00160821"/>
    <w:rsid w:val="001609CF"/>
    <w:rsid w:val="001609D4"/>
    <w:rsid w:val="001613A7"/>
    <w:rsid w:val="001614B7"/>
    <w:rsid w:val="001630DF"/>
    <w:rsid w:val="00164D31"/>
    <w:rsid w:val="00164E04"/>
    <w:rsid w:val="001658D7"/>
    <w:rsid w:val="00166600"/>
    <w:rsid w:val="0016796F"/>
    <w:rsid w:val="00170E7D"/>
    <w:rsid w:val="0017102A"/>
    <w:rsid w:val="00171C99"/>
    <w:rsid w:val="0017242A"/>
    <w:rsid w:val="00172AD5"/>
    <w:rsid w:val="00172ED6"/>
    <w:rsid w:val="00173D29"/>
    <w:rsid w:val="00175ED1"/>
    <w:rsid w:val="00176EE8"/>
    <w:rsid w:val="00177BA9"/>
    <w:rsid w:val="0018114D"/>
    <w:rsid w:val="001818DF"/>
    <w:rsid w:val="00181CAC"/>
    <w:rsid w:val="001833CD"/>
    <w:rsid w:val="00184457"/>
    <w:rsid w:val="00186265"/>
    <w:rsid w:val="001869E0"/>
    <w:rsid w:val="00187861"/>
    <w:rsid w:val="00190356"/>
    <w:rsid w:val="00190853"/>
    <w:rsid w:val="00190C28"/>
    <w:rsid w:val="00193623"/>
    <w:rsid w:val="001939F1"/>
    <w:rsid w:val="00194A90"/>
    <w:rsid w:val="00194F82"/>
    <w:rsid w:val="0019647D"/>
    <w:rsid w:val="00196BF0"/>
    <w:rsid w:val="00196C46"/>
    <w:rsid w:val="0019741C"/>
    <w:rsid w:val="001A0112"/>
    <w:rsid w:val="001A36EC"/>
    <w:rsid w:val="001A3C98"/>
    <w:rsid w:val="001A416B"/>
    <w:rsid w:val="001A449A"/>
    <w:rsid w:val="001A7AB9"/>
    <w:rsid w:val="001B0313"/>
    <w:rsid w:val="001B15C5"/>
    <w:rsid w:val="001B1604"/>
    <w:rsid w:val="001B2C6F"/>
    <w:rsid w:val="001B2E94"/>
    <w:rsid w:val="001B3751"/>
    <w:rsid w:val="001B569B"/>
    <w:rsid w:val="001B5A55"/>
    <w:rsid w:val="001B6591"/>
    <w:rsid w:val="001B7D82"/>
    <w:rsid w:val="001C0E70"/>
    <w:rsid w:val="001C17AB"/>
    <w:rsid w:val="001C1CCC"/>
    <w:rsid w:val="001C27A7"/>
    <w:rsid w:val="001C3772"/>
    <w:rsid w:val="001C3AF7"/>
    <w:rsid w:val="001C40C6"/>
    <w:rsid w:val="001C4FFC"/>
    <w:rsid w:val="001C5046"/>
    <w:rsid w:val="001C680C"/>
    <w:rsid w:val="001C743F"/>
    <w:rsid w:val="001C796A"/>
    <w:rsid w:val="001C7BDB"/>
    <w:rsid w:val="001C7CB7"/>
    <w:rsid w:val="001D10AE"/>
    <w:rsid w:val="001D1966"/>
    <w:rsid w:val="001D1B22"/>
    <w:rsid w:val="001D2569"/>
    <w:rsid w:val="001D294B"/>
    <w:rsid w:val="001D3032"/>
    <w:rsid w:val="001D75CF"/>
    <w:rsid w:val="001E0A2E"/>
    <w:rsid w:val="001E28DC"/>
    <w:rsid w:val="001E3EDB"/>
    <w:rsid w:val="001E64C1"/>
    <w:rsid w:val="001E6717"/>
    <w:rsid w:val="001F302A"/>
    <w:rsid w:val="001F35AB"/>
    <w:rsid w:val="001F3856"/>
    <w:rsid w:val="001F58A9"/>
    <w:rsid w:val="001F6467"/>
    <w:rsid w:val="001F6593"/>
    <w:rsid w:val="001F7FE1"/>
    <w:rsid w:val="00203476"/>
    <w:rsid w:val="00204672"/>
    <w:rsid w:val="002114C7"/>
    <w:rsid w:val="002120C3"/>
    <w:rsid w:val="002137AE"/>
    <w:rsid w:val="00213AF5"/>
    <w:rsid w:val="002146FB"/>
    <w:rsid w:val="00214B03"/>
    <w:rsid w:val="00214CAF"/>
    <w:rsid w:val="00214D15"/>
    <w:rsid w:val="0021529C"/>
    <w:rsid w:val="00215BC1"/>
    <w:rsid w:val="00216A31"/>
    <w:rsid w:val="002179DF"/>
    <w:rsid w:val="0022033D"/>
    <w:rsid w:val="002217AD"/>
    <w:rsid w:val="00222F6F"/>
    <w:rsid w:val="002240FB"/>
    <w:rsid w:val="00224350"/>
    <w:rsid w:val="00224744"/>
    <w:rsid w:val="0022532A"/>
    <w:rsid w:val="002259BF"/>
    <w:rsid w:val="002267A7"/>
    <w:rsid w:val="00226EA3"/>
    <w:rsid w:val="00227F36"/>
    <w:rsid w:val="00231807"/>
    <w:rsid w:val="002325BC"/>
    <w:rsid w:val="00235F7F"/>
    <w:rsid w:val="00240385"/>
    <w:rsid w:val="00242387"/>
    <w:rsid w:val="00242723"/>
    <w:rsid w:val="00242CAB"/>
    <w:rsid w:val="00243B85"/>
    <w:rsid w:val="00245B17"/>
    <w:rsid w:val="002460FF"/>
    <w:rsid w:val="0024748C"/>
    <w:rsid w:val="00247C77"/>
    <w:rsid w:val="002507A3"/>
    <w:rsid w:val="00250ECF"/>
    <w:rsid w:val="00251430"/>
    <w:rsid w:val="00251638"/>
    <w:rsid w:val="00251980"/>
    <w:rsid w:val="00252EF3"/>
    <w:rsid w:val="00254302"/>
    <w:rsid w:val="00254A9E"/>
    <w:rsid w:val="00256186"/>
    <w:rsid w:val="002607BD"/>
    <w:rsid w:val="002614E2"/>
    <w:rsid w:val="00262353"/>
    <w:rsid w:val="00263801"/>
    <w:rsid w:val="0026470D"/>
    <w:rsid w:val="00266499"/>
    <w:rsid w:val="0026762C"/>
    <w:rsid w:val="002677D5"/>
    <w:rsid w:val="00267841"/>
    <w:rsid w:val="00270460"/>
    <w:rsid w:val="0027132C"/>
    <w:rsid w:val="00271D2C"/>
    <w:rsid w:val="00272D71"/>
    <w:rsid w:val="00273F9D"/>
    <w:rsid w:val="002745C0"/>
    <w:rsid w:val="002753CA"/>
    <w:rsid w:val="00275BFA"/>
    <w:rsid w:val="00276283"/>
    <w:rsid w:val="00282399"/>
    <w:rsid w:val="00282E72"/>
    <w:rsid w:val="0028335A"/>
    <w:rsid w:val="00283BCA"/>
    <w:rsid w:val="002841E0"/>
    <w:rsid w:val="002843A1"/>
    <w:rsid w:val="00287071"/>
    <w:rsid w:val="00291194"/>
    <w:rsid w:val="002931D7"/>
    <w:rsid w:val="00294CEF"/>
    <w:rsid w:val="0029584C"/>
    <w:rsid w:val="00295952"/>
    <w:rsid w:val="00295E53"/>
    <w:rsid w:val="00296C64"/>
    <w:rsid w:val="00296CB4"/>
    <w:rsid w:val="00296F0B"/>
    <w:rsid w:val="002979D4"/>
    <w:rsid w:val="002A12BB"/>
    <w:rsid w:val="002A2363"/>
    <w:rsid w:val="002A23E1"/>
    <w:rsid w:val="002A3046"/>
    <w:rsid w:val="002A4181"/>
    <w:rsid w:val="002A545E"/>
    <w:rsid w:val="002A5F2C"/>
    <w:rsid w:val="002A631D"/>
    <w:rsid w:val="002A7B64"/>
    <w:rsid w:val="002A7D30"/>
    <w:rsid w:val="002A7F52"/>
    <w:rsid w:val="002B0790"/>
    <w:rsid w:val="002B2DD3"/>
    <w:rsid w:val="002B430F"/>
    <w:rsid w:val="002B4434"/>
    <w:rsid w:val="002B6762"/>
    <w:rsid w:val="002B6ABF"/>
    <w:rsid w:val="002C41AE"/>
    <w:rsid w:val="002C5CBD"/>
    <w:rsid w:val="002C625B"/>
    <w:rsid w:val="002C697B"/>
    <w:rsid w:val="002C6AB6"/>
    <w:rsid w:val="002C6E6A"/>
    <w:rsid w:val="002C73B4"/>
    <w:rsid w:val="002C7955"/>
    <w:rsid w:val="002C7B33"/>
    <w:rsid w:val="002D293C"/>
    <w:rsid w:val="002D49BF"/>
    <w:rsid w:val="002D5CD0"/>
    <w:rsid w:val="002D709E"/>
    <w:rsid w:val="002E719A"/>
    <w:rsid w:val="002F0932"/>
    <w:rsid w:val="002F0B2B"/>
    <w:rsid w:val="002F0CFF"/>
    <w:rsid w:val="002F0E78"/>
    <w:rsid w:val="002F216A"/>
    <w:rsid w:val="002F2765"/>
    <w:rsid w:val="002F2FBC"/>
    <w:rsid w:val="002F458F"/>
    <w:rsid w:val="002F4DE6"/>
    <w:rsid w:val="002F5FBF"/>
    <w:rsid w:val="002F77EF"/>
    <w:rsid w:val="00300DEA"/>
    <w:rsid w:val="0030463C"/>
    <w:rsid w:val="0030749C"/>
    <w:rsid w:val="003100FE"/>
    <w:rsid w:val="0031016D"/>
    <w:rsid w:val="00310D9B"/>
    <w:rsid w:val="00310DCC"/>
    <w:rsid w:val="00311520"/>
    <w:rsid w:val="00311974"/>
    <w:rsid w:val="003126E8"/>
    <w:rsid w:val="00313522"/>
    <w:rsid w:val="0031371D"/>
    <w:rsid w:val="00313C93"/>
    <w:rsid w:val="003147B3"/>
    <w:rsid w:val="0031492B"/>
    <w:rsid w:val="00314CD4"/>
    <w:rsid w:val="003220BD"/>
    <w:rsid w:val="003225FE"/>
    <w:rsid w:val="0032281F"/>
    <w:rsid w:val="00322CB2"/>
    <w:rsid w:val="0032302B"/>
    <w:rsid w:val="00323CFE"/>
    <w:rsid w:val="00325374"/>
    <w:rsid w:val="00325DD3"/>
    <w:rsid w:val="00325F04"/>
    <w:rsid w:val="0032681F"/>
    <w:rsid w:val="003272A2"/>
    <w:rsid w:val="00327FC4"/>
    <w:rsid w:val="003307B9"/>
    <w:rsid w:val="00330BAB"/>
    <w:rsid w:val="00330F30"/>
    <w:rsid w:val="003357AC"/>
    <w:rsid w:val="0033636D"/>
    <w:rsid w:val="00336C3C"/>
    <w:rsid w:val="003370EB"/>
    <w:rsid w:val="00337268"/>
    <w:rsid w:val="00337337"/>
    <w:rsid w:val="00340652"/>
    <w:rsid w:val="003411E8"/>
    <w:rsid w:val="003418EC"/>
    <w:rsid w:val="00342275"/>
    <w:rsid w:val="003424A6"/>
    <w:rsid w:val="00342819"/>
    <w:rsid w:val="00342F89"/>
    <w:rsid w:val="00343BE7"/>
    <w:rsid w:val="003442F5"/>
    <w:rsid w:val="003455F4"/>
    <w:rsid w:val="003459D9"/>
    <w:rsid w:val="00346009"/>
    <w:rsid w:val="00346DD3"/>
    <w:rsid w:val="003474AF"/>
    <w:rsid w:val="003478A9"/>
    <w:rsid w:val="00350812"/>
    <w:rsid w:val="00351C34"/>
    <w:rsid w:val="00351EF0"/>
    <w:rsid w:val="003522B4"/>
    <w:rsid w:val="0035255A"/>
    <w:rsid w:val="00354443"/>
    <w:rsid w:val="003547D3"/>
    <w:rsid w:val="003555C2"/>
    <w:rsid w:val="00355B98"/>
    <w:rsid w:val="00356619"/>
    <w:rsid w:val="003610AC"/>
    <w:rsid w:val="00364E6C"/>
    <w:rsid w:val="00365178"/>
    <w:rsid w:val="0036529C"/>
    <w:rsid w:val="00365751"/>
    <w:rsid w:val="00365F1D"/>
    <w:rsid w:val="00367BE6"/>
    <w:rsid w:val="003709F2"/>
    <w:rsid w:val="00371806"/>
    <w:rsid w:val="00371EA9"/>
    <w:rsid w:val="00372114"/>
    <w:rsid w:val="00372C01"/>
    <w:rsid w:val="00373190"/>
    <w:rsid w:val="00373AA4"/>
    <w:rsid w:val="00373CCD"/>
    <w:rsid w:val="00373F72"/>
    <w:rsid w:val="00374A32"/>
    <w:rsid w:val="00375C1F"/>
    <w:rsid w:val="00381924"/>
    <w:rsid w:val="0038243B"/>
    <w:rsid w:val="00382A12"/>
    <w:rsid w:val="00385271"/>
    <w:rsid w:val="00385989"/>
    <w:rsid w:val="00385B43"/>
    <w:rsid w:val="00385EFC"/>
    <w:rsid w:val="00386A1C"/>
    <w:rsid w:val="00390E65"/>
    <w:rsid w:val="0039121A"/>
    <w:rsid w:val="00391DC9"/>
    <w:rsid w:val="00392DBC"/>
    <w:rsid w:val="003954EA"/>
    <w:rsid w:val="0039553C"/>
    <w:rsid w:val="003966B4"/>
    <w:rsid w:val="00396A35"/>
    <w:rsid w:val="0039763D"/>
    <w:rsid w:val="003A259B"/>
    <w:rsid w:val="003A36B3"/>
    <w:rsid w:val="003A3D49"/>
    <w:rsid w:val="003A4184"/>
    <w:rsid w:val="003A42B9"/>
    <w:rsid w:val="003A5728"/>
    <w:rsid w:val="003A63E1"/>
    <w:rsid w:val="003A69B8"/>
    <w:rsid w:val="003A73E0"/>
    <w:rsid w:val="003B06F7"/>
    <w:rsid w:val="003B0944"/>
    <w:rsid w:val="003B1DA1"/>
    <w:rsid w:val="003B259A"/>
    <w:rsid w:val="003B3DD4"/>
    <w:rsid w:val="003B3E42"/>
    <w:rsid w:val="003B4F2F"/>
    <w:rsid w:val="003B5189"/>
    <w:rsid w:val="003B6E1B"/>
    <w:rsid w:val="003C0909"/>
    <w:rsid w:val="003C21D3"/>
    <w:rsid w:val="003C21ED"/>
    <w:rsid w:val="003C233F"/>
    <w:rsid w:val="003C2E50"/>
    <w:rsid w:val="003C3D5D"/>
    <w:rsid w:val="003C49DE"/>
    <w:rsid w:val="003C5301"/>
    <w:rsid w:val="003C5B33"/>
    <w:rsid w:val="003D1D32"/>
    <w:rsid w:val="003D2BDF"/>
    <w:rsid w:val="003D300E"/>
    <w:rsid w:val="003D5C74"/>
    <w:rsid w:val="003D626F"/>
    <w:rsid w:val="003D72DA"/>
    <w:rsid w:val="003D7381"/>
    <w:rsid w:val="003D741A"/>
    <w:rsid w:val="003E08E6"/>
    <w:rsid w:val="003E0EF0"/>
    <w:rsid w:val="003E1035"/>
    <w:rsid w:val="003E33AD"/>
    <w:rsid w:val="003E4596"/>
    <w:rsid w:val="003E4AAD"/>
    <w:rsid w:val="003E5FC2"/>
    <w:rsid w:val="003E7D29"/>
    <w:rsid w:val="003F00FE"/>
    <w:rsid w:val="003F0D50"/>
    <w:rsid w:val="003F0F09"/>
    <w:rsid w:val="003F157B"/>
    <w:rsid w:val="003F26C5"/>
    <w:rsid w:val="003F32AE"/>
    <w:rsid w:val="003F460F"/>
    <w:rsid w:val="003F4A19"/>
    <w:rsid w:val="003F5F64"/>
    <w:rsid w:val="003F62FC"/>
    <w:rsid w:val="003F6FDD"/>
    <w:rsid w:val="003F7031"/>
    <w:rsid w:val="003F73A9"/>
    <w:rsid w:val="003F7634"/>
    <w:rsid w:val="0040145C"/>
    <w:rsid w:val="004016C3"/>
    <w:rsid w:val="00402C1C"/>
    <w:rsid w:val="00403192"/>
    <w:rsid w:val="004048E2"/>
    <w:rsid w:val="00405C5A"/>
    <w:rsid w:val="0040617D"/>
    <w:rsid w:val="00407B5B"/>
    <w:rsid w:val="004109AE"/>
    <w:rsid w:val="0041205D"/>
    <w:rsid w:val="0041258F"/>
    <w:rsid w:val="00412985"/>
    <w:rsid w:val="0041385C"/>
    <w:rsid w:val="00413D8C"/>
    <w:rsid w:val="0041553F"/>
    <w:rsid w:val="004166EF"/>
    <w:rsid w:val="0041695B"/>
    <w:rsid w:val="00417221"/>
    <w:rsid w:val="004238DA"/>
    <w:rsid w:val="0042514B"/>
    <w:rsid w:val="004251A2"/>
    <w:rsid w:val="00425287"/>
    <w:rsid w:val="004259F8"/>
    <w:rsid w:val="004271A8"/>
    <w:rsid w:val="00432788"/>
    <w:rsid w:val="00432BCC"/>
    <w:rsid w:val="00432E19"/>
    <w:rsid w:val="004351F2"/>
    <w:rsid w:val="00436582"/>
    <w:rsid w:val="00437057"/>
    <w:rsid w:val="004373B7"/>
    <w:rsid w:val="00437B9F"/>
    <w:rsid w:val="00437EB8"/>
    <w:rsid w:val="0044211D"/>
    <w:rsid w:val="00444FB1"/>
    <w:rsid w:val="00447604"/>
    <w:rsid w:val="0045090A"/>
    <w:rsid w:val="00450BEB"/>
    <w:rsid w:val="0045119F"/>
    <w:rsid w:val="004516FF"/>
    <w:rsid w:val="00451948"/>
    <w:rsid w:val="00451BCE"/>
    <w:rsid w:val="00452658"/>
    <w:rsid w:val="00461029"/>
    <w:rsid w:val="00462280"/>
    <w:rsid w:val="00462A0C"/>
    <w:rsid w:val="0046350D"/>
    <w:rsid w:val="00464EBD"/>
    <w:rsid w:val="00472A97"/>
    <w:rsid w:val="00473859"/>
    <w:rsid w:val="00473F76"/>
    <w:rsid w:val="00474196"/>
    <w:rsid w:val="00474C6C"/>
    <w:rsid w:val="00475DA1"/>
    <w:rsid w:val="00475E40"/>
    <w:rsid w:val="00476449"/>
    <w:rsid w:val="0048074A"/>
    <w:rsid w:val="00480F4F"/>
    <w:rsid w:val="00481321"/>
    <w:rsid w:val="00481D37"/>
    <w:rsid w:val="00482347"/>
    <w:rsid w:val="00484975"/>
    <w:rsid w:val="004854B7"/>
    <w:rsid w:val="0048614F"/>
    <w:rsid w:val="00487174"/>
    <w:rsid w:val="00490884"/>
    <w:rsid w:val="00491B39"/>
    <w:rsid w:val="00492193"/>
    <w:rsid w:val="00492207"/>
    <w:rsid w:val="00495DBA"/>
    <w:rsid w:val="00495FC4"/>
    <w:rsid w:val="00496059"/>
    <w:rsid w:val="004972C9"/>
    <w:rsid w:val="00497DEA"/>
    <w:rsid w:val="004A0017"/>
    <w:rsid w:val="004A3CD2"/>
    <w:rsid w:val="004A55E2"/>
    <w:rsid w:val="004A6D61"/>
    <w:rsid w:val="004A7640"/>
    <w:rsid w:val="004B10E8"/>
    <w:rsid w:val="004B173E"/>
    <w:rsid w:val="004B1B2F"/>
    <w:rsid w:val="004B1BE5"/>
    <w:rsid w:val="004B384F"/>
    <w:rsid w:val="004B477A"/>
    <w:rsid w:val="004B53B8"/>
    <w:rsid w:val="004B5A5F"/>
    <w:rsid w:val="004B5B9E"/>
    <w:rsid w:val="004B673A"/>
    <w:rsid w:val="004B69E5"/>
    <w:rsid w:val="004B72DD"/>
    <w:rsid w:val="004B776B"/>
    <w:rsid w:val="004C08A2"/>
    <w:rsid w:val="004C0FAE"/>
    <w:rsid w:val="004C1384"/>
    <w:rsid w:val="004C17A1"/>
    <w:rsid w:val="004C3B38"/>
    <w:rsid w:val="004C4090"/>
    <w:rsid w:val="004C495C"/>
    <w:rsid w:val="004C4BBD"/>
    <w:rsid w:val="004C6061"/>
    <w:rsid w:val="004D0249"/>
    <w:rsid w:val="004D029D"/>
    <w:rsid w:val="004D0FC0"/>
    <w:rsid w:val="004D30A4"/>
    <w:rsid w:val="004D3D22"/>
    <w:rsid w:val="004D57D1"/>
    <w:rsid w:val="004D670F"/>
    <w:rsid w:val="004D683E"/>
    <w:rsid w:val="004E1AB3"/>
    <w:rsid w:val="004E33A8"/>
    <w:rsid w:val="004E4BA5"/>
    <w:rsid w:val="004E687C"/>
    <w:rsid w:val="004E6AAE"/>
    <w:rsid w:val="004E6ED5"/>
    <w:rsid w:val="004E7394"/>
    <w:rsid w:val="004E7E65"/>
    <w:rsid w:val="004F0A7C"/>
    <w:rsid w:val="004F0C2F"/>
    <w:rsid w:val="004F0F08"/>
    <w:rsid w:val="004F24AF"/>
    <w:rsid w:val="004F26FE"/>
    <w:rsid w:val="004F343E"/>
    <w:rsid w:val="004F5B52"/>
    <w:rsid w:val="004F70EE"/>
    <w:rsid w:val="004F7B09"/>
    <w:rsid w:val="00500081"/>
    <w:rsid w:val="00502B15"/>
    <w:rsid w:val="00502D07"/>
    <w:rsid w:val="00503BF0"/>
    <w:rsid w:val="00503D08"/>
    <w:rsid w:val="00503F37"/>
    <w:rsid w:val="005044EC"/>
    <w:rsid w:val="00504FDE"/>
    <w:rsid w:val="00505AF9"/>
    <w:rsid w:val="00505C12"/>
    <w:rsid w:val="005070C1"/>
    <w:rsid w:val="00511D20"/>
    <w:rsid w:val="0051202A"/>
    <w:rsid w:val="0051353B"/>
    <w:rsid w:val="00516F63"/>
    <w:rsid w:val="005205DA"/>
    <w:rsid w:val="00521F7D"/>
    <w:rsid w:val="00523211"/>
    <w:rsid w:val="0052368F"/>
    <w:rsid w:val="00524A23"/>
    <w:rsid w:val="0052505A"/>
    <w:rsid w:val="005256BA"/>
    <w:rsid w:val="0052703A"/>
    <w:rsid w:val="005274C3"/>
    <w:rsid w:val="00531D3C"/>
    <w:rsid w:val="00533F99"/>
    <w:rsid w:val="005347E2"/>
    <w:rsid w:val="00537BFF"/>
    <w:rsid w:val="00540C1D"/>
    <w:rsid w:val="00541DC9"/>
    <w:rsid w:val="00542A4A"/>
    <w:rsid w:val="00543C8E"/>
    <w:rsid w:val="00545611"/>
    <w:rsid w:val="0054607B"/>
    <w:rsid w:val="00546812"/>
    <w:rsid w:val="005474AF"/>
    <w:rsid w:val="00550891"/>
    <w:rsid w:val="005510A4"/>
    <w:rsid w:val="00551504"/>
    <w:rsid w:val="00551822"/>
    <w:rsid w:val="0055382B"/>
    <w:rsid w:val="005539D9"/>
    <w:rsid w:val="00555EF3"/>
    <w:rsid w:val="00556663"/>
    <w:rsid w:val="00562258"/>
    <w:rsid w:val="005627CA"/>
    <w:rsid w:val="00562C54"/>
    <w:rsid w:val="005631AC"/>
    <w:rsid w:val="005636DA"/>
    <w:rsid w:val="0056576A"/>
    <w:rsid w:val="00565EED"/>
    <w:rsid w:val="00567F9C"/>
    <w:rsid w:val="005705A1"/>
    <w:rsid w:val="00570B04"/>
    <w:rsid w:val="00570BC6"/>
    <w:rsid w:val="0057488F"/>
    <w:rsid w:val="00576B36"/>
    <w:rsid w:val="00576FB1"/>
    <w:rsid w:val="0057719E"/>
    <w:rsid w:val="00577BC5"/>
    <w:rsid w:val="00581839"/>
    <w:rsid w:val="005847C9"/>
    <w:rsid w:val="005859FA"/>
    <w:rsid w:val="005867AF"/>
    <w:rsid w:val="005873C2"/>
    <w:rsid w:val="00590FD1"/>
    <w:rsid w:val="00591FBF"/>
    <w:rsid w:val="00592ED7"/>
    <w:rsid w:val="00594C50"/>
    <w:rsid w:val="005963B5"/>
    <w:rsid w:val="00597A4F"/>
    <w:rsid w:val="005A1AAF"/>
    <w:rsid w:val="005A3C27"/>
    <w:rsid w:val="005A466B"/>
    <w:rsid w:val="005A4CAD"/>
    <w:rsid w:val="005B10CC"/>
    <w:rsid w:val="005B34C0"/>
    <w:rsid w:val="005B4407"/>
    <w:rsid w:val="005B44A5"/>
    <w:rsid w:val="005B4C61"/>
    <w:rsid w:val="005B4E4C"/>
    <w:rsid w:val="005B525E"/>
    <w:rsid w:val="005B528F"/>
    <w:rsid w:val="005B76D4"/>
    <w:rsid w:val="005C01F0"/>
    <w:rsid w:val="005C1AC0"/>
    <w:rsid w:val="005C1FFB"/>
    <w:rsid w:val="005C36A6"/>
    <w:rsid w:val="005C43F8"/>
    <w:rsid w:val="005C4ADF"/>
    <w:rsid w:val="005C4C08"/>
    <w:rsid w:val="005C71D6"/>
    <w:rsid w:val="005D0BD3"/>
    <w:rsid w:val="005D57A9"/>
    <w:rsid w:val="005D5A4B"/>
    <w:rsid w:val="005D6EB1"/>
    <w:rsid w:val="005E0163"/>
    <w:rsid w:val="005E0196"/>
    <w:rsid w:val="005E03C9"/>
    <w:rsid w:val="005E0C80"/>
    <w:rsid w:val="005E0FD5"/>
    <w:rsid w:val="005E1E02"/>
    <w:rsid w:val="005E2C56"/>
    <w:rsid w:val="005E3FBD"/>
    <w:rsid w:val="005E45B4"/>
    <w:rsid w:val="005E706A"/>
    <w:rsid w:val="005E7266"/>
    <w:rsid w:val="005E7EFD"/>
    <w:rsid w:val="005F0F56"/>
    <w:rsid w:val="005F30D7"/>
    <w:rsid w:val="005F30DD"/>
    <w:rsid w:val="005F4B5A"/>
    <w:rsid w:val="006004E0"/>
    <w:rsid w:val="00601675"/>
    <w:rsid w:val="006017D8"/>
    <w:rsid w:val="00601F91"/>
    <w:rsid w:val="00602ACD"/>
    <w:rsid w:val="00604C9E"/>
    <w:rsid w:val="00605013"/>
    <w:rsid w:val="00606FF4"/>
    <w:rsid w:val="00607A30"/>
    <w:rsid w:val="00607DEF"/>
    <w:rsid w:val="006104CA"/>
    <w:rsid w:val="00610DF5"/>
    <w:rsid w:val="00613692"/>
    <w:rsid w:val="00615326"/>
    <w:rsid w:val="006155E4"/>
    <w:rsid w:val="006171C7"/>
    <w:rsid w:val="006173FD"/>
    <w:rsid w:val="0061744F"/>
    <w:rsid w:val="0061754E"/>
    <w:rsid w:val="00617744"/>
    <w:rsid w:val="00617DC9"/>
    <w:rsid w:val="00620CE1"/>
    <w:rsid w:val="00621B9F"/>
    <w:rsid w:val="00622763"/>
    <w:rsid w:val="006248B2"/>
    <w:rsid w:val="00626410"/>
    <w:rsid w:val="0062698C"/>
    <w:rsid w:val="006269D6"/>
    <w:rsid w:val="00627448"/>
    <w:rsid w:val="00627597"/>
    <w:rsid w:val="006275F0"/>
    <w:rsid w:val="006278A1"/>
    <w:rsid w:val="00627FF1"/>
    <w:rsid w:val="006303AB"/>
    <w:rsid w:val="00630EF5"/>
    <w:rsid w:val="00631D00"/>
    <w:rsid w:val="00634033"/>
    <w:rsid w:val="00635418"/>
    <w:rsid w:val="006360C9"/>
    <w:rsid w:val="00637AC7"/>
    <w:rsid w:val="00637E1F"/>
    <w:rsid w:val="00640262"/>
    <w:rsid w:val="00640D80"/>
    <w:rsid w:val="00642A87"/>
    <w:rsid w:val="00644A02"/>
    <w:rsid w:val="00647024"/>
    <w:rsid w:val="00647ECA"/>
    <w:rsid w:val="00651CE3"/>
    <w:rsid w:val="0065403A"/>
    <w:rsid w:val="0065452A"/>
    <w:rsid w:val="0065461C"/>
    <w:rsid w:val="00657328"/>
    <w:rsid w:val="00657758"/>
    <w:rsid w:val="00657F4F"/>
    <w:rsid w:val="00661E00"/>
    <w:rsid w:val="006623A5"/>
    <w:rsid w:val="00662AAF"/>
    <w:rsid w:val="00663182"/>
    <w:rsid w:val="00663483"/>
    <w:rsid w:val="006638D5"/>
    <w:rsid w:val="00663C7A"/>
    <w:rsid w:val="006654D2"/>
    <w:rsid w:val="00665582"/>
    <w:rsid w:val="00665D5C"/>
    <w:rsid w:val="006664F3"/>
    <w:rsid w:val="00673A2F"/>
    <w:rsid w:val="00673FDB"/>
    <w:rsid w:val="00676CBC"/>
    <w:rsid w:val="00680925"/>
    <w:rsid w:val="006825C0"/>
    <w:rsid w:val="00684429"/>
    <w:rsid w:val="00684E1B"/>
    <w:rsid w:val="00684E57"/>
    <w:rsid w:val="006858A4"/>
    <w:rsid w:val="0068616E"/>
    <w:rsid w:val="006863FE"/>
    <w:rsid w:val="00686A87"/>
    <w:rsid w:val="00686AFB"/>
    <w:rsid w:val="00686B8F"/>
    <w:rsid w:val="0068740E"/>
    <w:rsid w:val="00691905"/>
    <w:rsid w:val="00692557"/>
    <w:rsid w:val="00693083"/>
    <w:rsid w:val="00694383"/>
    <w:rsid w:val="00694E9E"/>
    <w:rsid w:val="006951E1"/>
    <w:rsid w:val="00697907"/>
    <w:rsid w:val="006A0EAC"/>
    <w:rsid w:val="006A1C15"/>
    <w:rsid w:val="006A2E6E"/>
    <w:rsid w:val="006A2FFF"/>
    <w:rsid w:val="006A332F"/>
    <w:rsid w:val="006A429C"/>
    <w:rsid w:val="006A4C1D"/>
    <w:rsid w:val="006A6C7D"/>
    <w:rsid w:val="006B03C4"/>
    <w:rsid w:val="006B21C2"/>
    <w:rsid w:val="006B2C67"/>
    <w:rsid w:val="006B34D2"/>
    <w:rsid w:val="006B3EDE"/>
    <w:rsid w:val="006B6AFA"/>
    <w:rsid w:val="006C1FA9"/>
    <w:rsid w:val="006C20EE"/>
    <w:rsid w:val="006C214C"/>
    <w:rsid w:val="006C29ED"/>
    <w:rsid w:val="006C33FF"/>
    <w:rsid w:val="006C3B3D"/>
    <w:rsid w:val="006C496E"/>
    <w:rsid w:val="006C4D8C"/>
    <w:rsid w:val="006D06ED"/>
    <w:rsid w:val="006D3005"/>
    <w:rsid w:val="006D3293"/>
    <w:rsid w:val="006D41E4"/>
    <w:rsid w:val="006D60E2"/>
    <w:rsid w:val="006E01AF"/>
    <w:rsid w:val="006E0AE8"/>
    <w:rsid w:val="006E0FCA"/>
    <w:rsid w:val="006E441E"/>
    <w:rsid w:val="006E4757"/>
    <w:rsid w:val="006E480A"/>
    <w:rsid w:val="006E756C"/>
    <w:rsid w:val="006F084F"/>
    <w:rsid w:val="006F0976"/>
    <w:rsid w:val="006F2595"/>
    <w:rsid w:val="006F4AC1"/>
    <w:rsid w:val="006F5CB8"/>
    <w:rsid w:val="006F5CCB"/>
    <w:rsid w:val="00701204"/>
    <w:rsid w:val="007025EC"/>
    <w:rsid w:val="007030C4"/>
    <w:rsid w:val="0070491C"/>
    <w:rsid w:val="00706765"/>
    <w:rsid w:val="00706DF7"/>
    <w:rsid w:val="00707DCB"/>
    <w:rsid w:val="00710865"/>
    <w:rsid w:val="00712753"/>
    <w:rsid w:val="00713107"/>
    <w:rsid w:val="00714655"/>
    <w:rsid w:val="0071639D"/>
    <w:rsid w:val="00717397"/>
    <w:rsid w:val="00720B68"/>
    <w:rsid w:val="00722C3B"/>
    <w:rsid w:val="007262C2"/>
    <w:rsid w:val="007271F5"/>
    <w:rsid w:val="00730FB6"/>
    <w:rsid w:val="00734B91"/>
    <w:rsid w:val="0073621F"/>
    <w:rsid w:val="00736BBB"/>
    <w:rsid w:val="00741F92"/>
    <w:rsid w:val="007424E8"/>
    <w:rsid w:val="0074295B"/>
    <w:rsid w:val="00746D67"/>
    <w:rsid w:val="00747EFA"/>
    <w:rsid w:val="00750637"/>
    <w:rsid w:val="00751A26"/>
    <w:rsid w:val="007528BF"/>
    <w:rsid w:val="00752C79"/>
    <w:rsid w:val="00753A94"/>
    <w:rsid w:val="00753D9B"/>
    <w:rsid w:val="00754069"/>
    <w:rsid w:val="00760926"/>
    <w:rsid w:val="007611FD"/>
    <w:rsid w:val="00761326"/>
    <w:rsid w:val="0076170B"/>
    <w:rsid w:val="00763AF2"/>
    <w:rsid w:val="00763F1D"/>
    <w:rsid w:val="00764311"/>
    <w:rsid w:val="0076684C"/>
    <w:rsid w:val="00766F56"/>
    <w:rsid w:val="00767524"/>
    <w:rsid w:val="00770092"/>
    <w:rsid w:val="00771F3E"/>
    <w:rsid w:val="007725EF"/>
    <w:rsid w:val="00773874"/>
    <w:rsid w:val="00774445"/>
    <w:rsid w:val="007757E3"/>
    <w:rsid w:val="007761FE"/>
    <w:rsid w:val="0077664A"/>
    <w:rsid w:val="00776F34"/>
    <w:rsid w:val="007778AE"/>
    <w:rsid w:val="007801AC"/>
    <w:rsid w:val="00780E09"/>
    <w:rsid w:val="0078169F"/>
    <w:rsid w:val="0078171F"/>
    <w:rsid w:val="00782929"/>
    <w:rsid w:val="00783AE1"/>
    <w:rsid w:val="00784390"/>
    <w:rsid w:val="0078681D"/>
    <w:rsid w:val="00787575"/>
    <w:rsid w:val="00787859"/>
    <w:rsid w:val="00787937"/>
    <w:rsid w:val="0079518E"/>
    <w:rsid w:val="00795E48"/>
    <w:rsid w:val="00797AB9"/>
    <w:rsid w:val="007A0C57"/>
    <w:rsid w:val="007A17B6"/>
    <w:rsid w:val="007A2B7C"/>
    <w:rsid w:val="007A406D"/>
    <w:rsid w:val="007A69D3"/>
    <w:rsid w:val="007B04A5"/>
    <w:rsid w:val="007B0DC2"/>
    <w:rsid w:val="007B4104"/>
    <w:rsid w:val="007B4740"/>
    <w:rsid w:val="007B4B26"/>
    <w:rsid w:val="007B6040"/>
    <w:rsid w:val="007B74A2"/>
    <w:rsid w:val="007B7BF5"/>
    <w:rsid w:val="007C1B4A"/>
    <w:rsid w:val="007C3164"/>
    <w:rsid w:val="007C3506"/>
    <w:rsid w:val="007C465A"/>
    <w:rsid w:val="007C4BAB"/>
    <w:rsid w:val="007C5F3B"/>
    <w:rsid w:val="007C6074"/>
    <w:rsid w:val="007D12AD"/>
    <w:rsid w:val="007D186D"/>
    <w:rsid w:val="007D2E80"/>
    <w:rsid w:val="007D39C0"/>
    <w:rsid w:val="007D45AA"/>
    <w:rsid w:val="007D575A"/>
    <w:rsid w:val="007D599A"/>
    <w:rsid w:val="007D6282"/>
    <w:rsid w:val="007D6606"/>
    <w:rsid w:val="007D7A13"/>
    <w:rsid w:val="007E052B"/>
    <w:rsid w:val="007E10C5"/>
    <w:rsid w:val="007E3E41"/>
    <w:rsid w:val="007E5583"/>
    <w:rsid w:val="007E626D"/>
    <w:rsid w:val="007E687E"/>
    <w:rsid w:val="007F120A"/>
    <w:rsid w:val="007F2BBF"/>
    <w:rsid w:val="007F49F6"/>
    <w:rsid w:val="007F63BE"/>
    <w:rsid w:val="007F676C"/>
    <w:rsid w:val="007F6885"/>
    <w:rsid w:val="007F690E"/>
    <w:rsid w:val="007F7EA3"/>
    <w:rsid w:val="00801265"/>
    <w:rsid w:val="008018DC"/>
    <w:rsid w:val="00802915"/>
    <w:rsid w:val="00802CA7"/>
    <w:rsid w:val="00803B1B"/>
    <w:rsid w:val="00803FEF"/>
    <w:rsid w:val="0080425B"/>
    <w:rsid w:val="00805F8D"/>
    <w:rsid w:val="008065E6"/>
    <w:rsid w:val="00806B86"/>
    <w:rsid w:val="00807870"/>
    <w:rsid w:val="008100F8"/>
    <w:rsid w:val="008105C8"/>
    <w:rsid w:val="00811D1E"/>
    <w:rsid w:val="00812A3D"/>
    <w:rsid w:val="008143B3"/>
    <w:rsid w:val="00814A6B"/>
    <w:rsid w:val="0081501A"/>
    <w:rsid w:val="00815F76"/>
    <w:rsid w:val="008160D6"/>
    <w:rsid w:val="00817075"/>
    <w:rsid w:val="008170BC"/>
    <w:rsid w:val="008174E7"/>
    <w:rsid w:val="00817790"/>
    <w:rsid w:val="00817CB0"/>
    <w:rsid w:val="00821364"/>
    <w:rsid w:val="00822015"/>
    <w:rsid w:val="00825072"/>
    <w:rsid w:val="00825511"/>
    <w:rsid w:val="00825C75"/>
    <w:rsid w:val="008270F1"/>
    <w:rsid w:val="00827508"/>
    <w:rsid w:val="008305BF"/>
    <w:rsid w:val="00830870"/>
    <w:rsid w:val="008314AE"/>
    <w:rsid w:val="00831AF1"/>
    <w:rsid w:val="00832649"/>
    <w:rsid w:val="00833301"/>
    <w:rsid w:val="008358A6"/>
    <w:rsid w:val="00835D34"/>
    <w:rsid w:val="0084059E"/>
    <w:rsid w:val="00840DC4"/>
    <w:rsid w:val="008418B9"/>
    <w:rsid w:val="00841D8A"/>
    <w:rsid w:val="00842C43"/>
    <w:rsid w:val="00843721"/>
    <w:rsid w:val="008438EC"/>
    <w:rsid w:val="0084550B"/>
    <w:rsid w:val="00845992"/>
    <w:rsid w:val="00845F79"/>
    <w:rsid w:val="0084732A"/>
    <w:rsid w:val="008476B5"/>
    <w:rsid w:val="00850642"/>
    <w:rsid w:val="0085067E"/>
    <w:rsid w:val="008523FB"/>
    <w:rsid w:val="00853689"/>
    <w:rsid w:val="00854B74"/>
    <w:rsid w:val="00854FEC"/>
    <w:rsid w:val="008576AE"/>
    <w:rsid w:val="008612EC"/>
    <w:rsid w:val="00861428"/>
    <w:rsid w:val="008636F2"/>
    <w:rsid w:val="008647EE"/>
    <w:rsid w:val="00864EBD"/>
    <w:rsid w:val="00865606"/>
    <w:rsid w:val="00865A71"/>
    <w:rsid w:val="00865AAB"/>
    <w:rsid w:val="008667EC"/>
    <w:rsid w:val="00867ADC"/>
    <w:rsid w:val="00870E1D"/>
    <w:rsid w:val="00872E21"/>
    <w:rsid w:val="008734B8"/>
    <w:rsid w:val="00873F4D"/>
    <w:rsid w:val="0087515F"/>
    <w:rsid w:val="00876121"/>
    <w:rsid w:val="0087622E"/>
    <w:rsid w:val="00882F15"/>
    <w:rsid w:val="008849A4"/>
    <w:rsid w:val="00886FD8"/>
    <w:rsid w:val="00887F77"/>
    <w:rsid w:val="00890A8E"/>
    <w:rsid w:val="008928AC"/>
    <w:rsid w:val="00892E39"/>
    <w:rsid w:val="008940AD"/>
    <w:rsid w:val="008959C5"/>
    <w:rsid w:val="00895D69"/>
    <w:rsid w:val="008966DC"/>
    <w:rsid w:val="008972ED"/>
    <w:rsid w:val="008978AB"/>
    <w:rsid w:val="008A0847"/>
    <w:rsid w:val="008A320A"/>
    <w:rsid w:val="008A40E1"/>
    <w:rsid w:val="008A4BC8"/>
    <w:rsid w:val="008A4CC2"/>
    <w:rsid w:val="008A4D85"/>
    <w:rsid w:val="008B11DF"/>
    <w:rsid w:val="008B1930"/>
    <w:rsid w:val="008B1E01"/>
    <w:rsid w:val="008B2F14"/>
    <w:rsid w:val="008B314C"/>
    <w:rsid w:val="008B5EE1"/>
    <w:rsid w:val="008B688A"/>
    <w:rsid w:val="008B7919"/>
    <w:rsid w:val="008B7EBF"/>
    <w:rsid w:val="008C1BC7"/>
    <w:rsid w:val="008C3967"/>
    <w:rsid w:val="008C3F1D"/>
    <w:rsid w:val="008C5FDC"/>
    <w:rsid w:val="008C65C5"/>
    <w:rsid w:val="008C6F11"/>
    <w:rsid w:val="008C7B5B"/>
    <w:rsid w:val="008C7EFA"/>
    <w:rsid w:val="008D38F6"/>
    <w:rsid w:val="008D3C47"/>
    <w:rsid w:val="008D4A67"/>
    <w:rsid w:val="008D5403"/>
    <w:rsid w:val="008D5912"/>
    <w:rsid w:val="008D633C"/>
    <w:rsid w:val="008D7EB5"/>
    <w:rsid w:val="008E31BD"/>
    <w:rsid w:val="008E5D4F"/>
    <w:rsid w:val="008E5DC4"/>
    <w:rsid w:val="008E68FE"/>
    <w:rsid w:val="008F2F04"/>
    <w:rsid w:val="008F54EC"/>
    <w:rsid w:val="008F5D7C"/>
    <w:rsid w:val="008F5DAC"/>
    <w:rsid w:val="008F6CB6"/>
    <w:rsid w:val="008F755B"/>
    <w:rsid w:val="008F7B5A"/>
    <w:rsid w:val="008F7BD0"/>
    <w:rsid w:val="00901917"/>
    <w:rsid w:val="00902A17"/>
    <w:rsid w:val="00903A5E"/>
    <w:rsid w:val="00903BAA"/>
    <w:rsid w:val="00904B18"/>
    <w:rsid w:val="00904C95"/>
    <w:rsid w:val="00904CA1"/>
    <w:rsid w:val="009075B1"/>
    <w:rsid w:val="00907F13"/>
    <w:rsid w:val="009122BE"/>
    <w:rsid w:val="009131DE"/>
    <w:rsid w:val="009153C0"/>
    <w:rsid w:val="0091738D"/>
    <w:rsid w:val="00922B37"/>
    <w:rsid w:val="00924BC4"/>
    <w:rsid w:val="009260E8"/>
    <w:rsid w:val="009266D1"/>
    <w:rsid w:val="009329D9"/>
    <w:rsid w:val="00932FA1"/>
    <w:rsid w:val="00933217"/>
    <w:rsid w:val="0093452D"/>
    <w:rsid w:val="0093484A"/>
    <w:rsid w:val="009352CA"/>
    <w:rsid w:val="009355DB"/>
    <w:rsid w:val="0093657C"/>
    <w:rsid w:val="00936CE7"/>
    <w:rsid w:val="0093719B"/>
    <w:rsid w:val="00937501"/>
    <w:rsid w:val="00937CC5"/>
    <w:rsid w:val="00940558"/>
    <w:rsid w:val="00940598"/>
    <w:rsid w:val="0094243B"/>
    <w:rsid w:val="00943C33"/>
    <w:rsid w:val="009444ED"/>
    <w:rsid w:val="00944C79"/>
    <w:rsid w:val="009465D5"/>
    <w:rsid w:val="00946686"/>
    <w:rsid w:val="0094669D"/>
    <w:rsid w:val="00946DA1"/>
    <w:rsid w:val="00950AE8"/>
    <w:rsid w:val="00954160"/>
    <w:rsid w:val="009541D4"/>
    <w:rsid w:val="0095729D"/>
    <w:rsid w:val="00957934"/>
    <w:rsid w:val="0096001B"/>
    <w:rsid w:val="009603A6"/>
    <w:rsid w:val="0096076B"/>
    <w:rsid w:val="00960C4E"/>
    <w:rsid w:val="00963AAA"/>
    <w:rsid w:val="00964922"/>
    <w:rsid w:val="00966140"/>
    <w:rsid w:val="0096740E"/>
    <w:rsid w:val="009703C0"/>
    <w:rsid w:val="009755FB"/>
    <w:rsid w:val="00975F70"/>
    <w:rsid w:val="00977313"/>
    <w:rsid w:val="009774AC"/>
    <w:rsid w:val="0097785F"/>
    <w:rsid w:val="00977AC0"/>
    <w:rsid w:val="00977C84"/>
    <w:rsid w:val="0098071E"/>
    <w:rsid w:val="00980969"/>
    <w:rsid w:val="00980C9A"/>
    <w:rsid w:val="009813AC"/>
    <w:rsid w:val="00982B43"/>
    <w:rsid w:val="00983369"/>
    <w:rsid w:val="00983836"/>
    <w:rsid w:val="009843D2"/>
    <w:rsid w:val="009848D0"/>
    <w:rsid w:val="00984E73"/>
    <w:rsid w:val="0098577E"/>
    <w:rsid w:val="00985B9D"/>
    <w:rsid w:val="009861EB"/>
    <w:rsid w:val="009863E6"/>
    <w:rsid w:val="0099053B"/>
    <w:rsid w:val="00991410"/>
    <w:rsid w:val="00991480"/>
    <w:rsid w:val="00992093"/>
    <w:rsid w:val="00992894"/>
    <w:rsid w:val="00992E4F"/>
    <w:rsid w:val="009934C9"/>
    <w:rsid w:val="00994006"/>
    <w:rsid w:val="009943BE"/>
    <w:rsid w:val="0099468B"/>
    <w:rsid w:val="00994C6B"/>
    <w:rsid w:val="00995169"/>
    <w:rsid w:val="00995916"/>
    <w:rsid w:val="00996471"/>
    <w:rsid w:val="009969C4"/>
    <w:rsid w:val="00996FE2"/>
    <w:rsid w:val="009A041B"/>
    <w:rsid w:val="009A172D"/>
    <w:rsid w:val="009A281C"/>
    <w:rsid w:val="009A2935"/>
    <w:rsid w:val="009A3393"/>
    <w:rsid w:val="009A3EFD"/>
    <w:rsid w:val="009A5AF0"/>
    <w:rsid w:val="009A5D0C"/>
    <w:rsid w:val="009A752F"/>
    <w:rsid w:val="009A781A"/>
    <w:rsid w:val="009B29CD"/>
    <w:rsid w:val="009B3096"/>
    <w:rsid w:val="009B3E1C"/>
    <w:rsid w:val="009B4FB6"/>
    <w:rsid w:val="009B744D"/>
    <w:rsid w:val="009B7878"/>
    <w:rsid w:val="009B78DB"/>
    <w:rsid w:val="009B7E42"/>
    <w:rsid w:val="009C0B14"/>
    <w:rsid w:val="009D0482"/>
    <w:rsid w:val="009D28E2"/>
    <w:rsid w:val="009D430E"/>
    <w:rsid w:val="009D4A6F"/>
    <w:rsid w:val="009D52C5"/>
    <w:rsid w:val="009D67D3"/>
    <w:rsid w:val="009E313E"/>
    <w:rsid w:val="009E79FF"/>
    <w:rsid w:val="009E7BC5"/>
    <w:rsid w:val="009F3AEC"/>
    <w:rsid w:val="009F3EFA"/>
    <w:rsid w:val="009F5747"/>
    <w:rsid w:val="009F5CA2"/>
    <w:rsid w:val="009F64E5"/>
    <w:rsid w:val="009F6B80"/>
    <w:rsid w:val="009F6D8F"/>
    <w:rsid w:val="009F7411"/>
    <w:rsid w:val="009F7927"/>
    <w:rsid w:val="009F7A93"/>
    <w:rsid w:val="00A0131E"/>
    <w:rsid w:val="00A028C1"/>
    <w:rsid w:val="00A03703"/>
    <w:rsid w:val="00A037FC"/>
    <w:rsid w:val="00A04DB5"/>
    <w:rsid w:val="00A051BF"/>
    <w:rsid w:val="00A129D1"/>
    <w:rsid w:val="00A13AE7"/>
    <w:rsid w:val="00A14066"/>
    <w:rsid w:val="00A142E2"/>
    <w:rsid w:val="00A16F45"/>
    <w:rsid w:val="00A21068"/>
    <w:rsid w:val="00A215FB"/>
    <w:rsid w:val="00A22580"/>
    <w:rsid w:val="00A24828"/>
    <w:rsid w:val="00A26251"/>
    <w:rsid w:val="00A263EC"/>
    <w:rsid w:val="00A266F7"/>
    <w:rsid w:val="00A27394"/>
    <w:rsid w:val="00A31158"/>
    <w:rsid w:val="00A31857"/>
    <w:rsid w:val="00A31D21"/>
    <w:rsid w:val="00A32935"/>
    <w:rsid w:val="00A330FC"/>
    <w:rsid w:val="00A33693"/>
    <w:rsid w:val="00A351E6"/>
    <w:rsid w:val="00A355CB"/>
    <w:rsid w:val="00A3627F"/>
    <w:rsid w:val="00A408D6"/>
    <w:rsid w:val="00A42811"/>
    <w:rsid w:val="00A42979"/>
    <w:rsid w:val="00A429E6"/>
    <w:rsid w:val="00A42D43"/>
    <w:rsid w:val="00A43349"/>
    <w:rsid w:val="00A44B61"/>
    <w:rsid w:val="00A45667"/>
    <w:rsid w:val="00A45C32"/>
    <w:rsid w:val="00A46284"/>
    <w:rsid w:val="00A46516"/>
    <w:rsid w:val="00A47972"/>
    <w:rsid w:val="00A5120D"/>
    <w:rsid w:val="00A53885"/>
    <w:rsid w:val="00A54DA1"/>
    <w:rsid w:val="00A55DF9"/>
    <w:rsid w:val="00A560FB"/>
    <w:rsid w:val="00A56504"/>
    <w:rsid w:val="00A57F83"/>
    <w:rsid w:val="00A60049"/>
    <w:rsid w:val="00A601E0"/>
    <w:rsid w:val="00A60F5A"/>
    <w:rsid w:val="00A61435"/>
    <w:rsid w:val="00A616FE"/>
    <w:rsid w:val="00A6181F"/>
    <w:rsid w:val="00A638F2"/>
    <w:rsid w:val="00A63D85"/>
    <w:rsid w:val="00A6498D"/>
    <w:rsid w:val="00A674EF"/>
    <w:rsid w:val="00A71253"/>
    <w:rsid w:val="00A71439"/>
    <w:rsid w:val="00A71C59"/>
    <w:rsid w:val="00A73EC7"/>
    <w:rsid w:val="00A742EC"/>
    <w:rsid w:val="00A74D83"/>
    <w:rsid w:val="00A7505C"/>
    <w:rsid w:val="00A753DC"/>
    <w:rsid w:val="00A75455"/>
    <w:rsid w:val="00A7602E"/>
    <w:rsid w:val="00A768DE"/>
    <w:rsid w:val="00A76FEF"/>
    <w:rsid w:val="00A77B13"/>
    <w:rsid w:val="00A8177A"/>
    <w:rsid w:val="00A8226D"/>
    <w:rsid w:val="00A83097"/>
    <w:rsid w:val="00A84051"/>
    <w:rsid w:val="00A84F58"/>
    <w:rsid w:val="00A85BB7"/>
    <w:rsid w:val="00A86B2B"/>
    <w:rsid w:val="00A87F92"/>
    <w:rsid w:val="00A9083C"/>
    <w:rsid w:val="00A90DF0"/>
    <w:rsid w:val="00A91BFC"/>
    <w:rsid w:val="00A92572"/>
    <w:rsid w:val="00A92579"/>
    <w:rsid w:val="00A92EDA"/>
    <w:rsid w:val="00A939F3"/>
    <w:rsid w:val="00A93FD3"/>
    <w:rsid w:val="00A94BD7"/>
    <w:rsid w:val="00A964D2"/>
    <w:rsid w:val="00AA02C5"/>
    <w:rsid w:val="00AA06DB"/>
    <w:rsid w:val="00AA1773"/>
    <w:rsid w:val="00AA1BAF"/>
    <w:rsid w:val="00AA2152"/>
    <w:rsid w:val="00AA3020"/>
    <w:rsid w:val="00AA3B26"/>
    <w:rsid w:val="00AA40DB"/>
    <w:rsid w:val="00AA5DDC"/>
    <w:rsid w:val="00AA707C"/>
    <w:rsid w:val="00AA7D0D"/>
    <w:rsid w:val="00AA7DF3"/>
    <w:rsid w:val="00AB0513"/>
    <w:rsid w:val="00AB171B"/>
    <w:rsid w:val="00AB2AC1"/>
    <w:rsid w:val="00AB2B79"/>
    <w:rsid w:val="00AB31D1"/>
    <w:rsid w:val="00AB348C"/>
    <w:rsid w:val="00AB362A"/>
    <w:rsid w:val="00AB415A"/>
    <w:rsid w:val="00AB547D"/>
    <w:rsid w:val="00AC2517"/>
    <w:rsid w:val="00AC3104"/>
    <w:rsid w:val="00AC3593"/>
    <w:rsid w:val="00AC3C9E"/>
    <w:rsid w:val="00AC422A"/>
    <w:rsid w:val="00AC43EB"/>
    <w:rsid w:val="00AC61E8"/>
    <w:rsid w:val="00AC649E"/>
    <w:rsid w:val="00AC6D1D"/>
    <w:rsid w:val="00AC6E66"/>
    <w:rsid w:val="00AD010D"/>
    <w:rsid w:val="00AD0C51"/>
    <w:rsid w:val="00AD0DFF"/>
    <w:rsid w:val="00AD14B3"/>
    <w:rsid w:val="00AD3331"/>
    <w:rsid w:val="00AD44AD"/>
    <w:rsid w:val="00AD5887"/>
    <w:rsid w:val="00AD596A"/>
    <w:rsid w:val="00AD6F9A"/>
    <w:rsid w:val="00AD735B"/>
    <w:rsid w:val="00AD796E"/>
    <w:rsid w:val="00AE18A2"/>
    <w:rsid w:val="00AE1F65"/>
    <w:rsid w:val="00AE2217"/>
    <w:rsid w:val="00AE3BD7"/>
    <w:rsid w:val="00AE4F56"/>
    <w:rsid w:val="00AE550C"/>
    <w:rsid w:val="00AE6BDA"/>
    <w:rsid w:val="00AF12C9"/>
    <w:rsid w:val="00AF1442"/>
    <w:rsid w:val="00AF176F"/>
    <w:rsid w:val="00AF2E57"/>
    <w:rsid w:val="00AF3A24"/>
    <w:rsid w:val="00AF44E1"/>
    <w:rsid w:val="00AF57F1"/>
    <w:rsid w:val="00AF6602"/>
    <w:rsid w:val="00AF7952"/>
    <w:rsid w:val="00B00453"/>
    <w:rsid w:val="00B00534"/>
    <w:rsid w:val="00B0244D"/>
    <w:rsid w:val="00B04D1C"/>
    <w:rsid w:val="00B067FA"/>
    <w:rsid w:val="00B06EAC"/>
    <w:rsid w:val="00B07199"/>
    <w:rsid w:val="00B0744B"/>
    <w:rsid w:val="00B07756"/>
    <w:rsid w:val="00B11342"/>
    <w:rsid w:val="00B12BC4"/>
    <w:rsid w:val="00B1387A"/>
    <w:rsid w:val="00B13E29"/>
    <w:rsid w:val="00B1524A"/>
    <w:rsid w:val="00B15422"/>
    <w:rsid w:val="00B15DB5"/>
    <w:rsid w:val="00B17851"/>
    <w:rsid w:val="00B20A46"/>
    <w:rsid w:val="00B21786"/>
    <w:rsid w:val="00B219FD"/>
    <w:rsid w:val="00B22634"/>
    <w:rsid w:val="00B24C85"/>
    <w:rsid w:val="00B2586A"/>
    <w:rsid w:val="00B2596D"/>
    <w:rsid w:val="00B26E71"/>
    <w:rsid w:val="00B270A8"/>
    <w:rsid w:val="00B3095A"/>
    <w:rsid w:val="00B3205A"/>
    <w:rsid w:val="00B330BE"/>
    <w:rsid w:val="00B401FB"/>
    <w:rsid w:val="00B408AA"/>
    <w:rsid w:val="00B41489"/>
    <w:rsid w:val="00B414BD"/>
    <w:rsid w:val="00B427B7"/>
    <w:rsid w:val="00B431F0"/>
    <w:rsid w:val="00B433AF"/>
    <w:rsid w:val="00B45C9F"/>
    <w:rsid w:val="00B45F77"/>
    <w:rsid w:val="00B477E3"/>
    <w:rsid w:val="00B47AA3"/>
    <w:rsid w:val="00B5123E"/>
    <w:rsid w:val="00B51625"/>
    <w:rsid w:val="00B52B8D"/>
    <w:rsid w:val="00B5323D"/>
    <w:rsid w:val="00B55280"/>
    <w:rsid w:val="00B55504"/>
    <w:rsid w:val="00B55F63"/>
    <w:rsid w:val="00B56B93"/>
    <w:rsid w:val="00B56DE2"/>
    <w:rsid w:val="00B57071"/>
    <w:rsid w:val="00B574B4"/>
    <w:rsid w:val="00B579F4"/>
    <w:rsid w:val="00B60647"/>
    <w:rsid w:val="00B64283"/>
    <w:rsid w:val="00B65539"/>
    <w:rsid w:val="00B66B83"/>
    <w:rsid w:val="00B70B61"/>
    <w:rsid w:val="00B715E0"/>
    <w:rsid w:val="00B719FC"/>
    <w:rsid w:val="00B72D5B"/>
    <w:rsid w:val="00B730A9"/>
    <w:rsid w:val="00B754A4"/>
    <w:rsid w:val="00B75CDA"/>
    <w:rsid w:val="00B760B3"/>
    <w:rsid w:val="00B806D1"/>
    <w:rsid w:val="00B80E38"/>
    <w:rsid w:val="00B838B3"/>
    <w:rsid w:val="00B839D6"/>
    <w:rsid w:val="00B857A4"/>
    <w:rsid w:val="00B8711B"/>
    <w:rsid w:val="00B876A4"/>
    <w:rsid w:val="00B91D34"/>
    <w:rsid w:val="00B93963"/>
    <w:rsid w:val="00B96DCC"/>
    <w:rsid w:val="00BA017E"/>
    <w:rsid w:val="00BA1E5D"/>
    <w:rsid w:val="00BA1EB4"/>
    <w:rsid w:val="00BA26EF"/>
    <w:rsid w:val="00BA7B7C"/>
    <w:rsid w:val="00BB1ACD"/>
    <w:rsid w:val="00BB2B42"/>
    <w:rsid w:val="00BB3C52"/>
    <w:rsid w:val="00BB40C2"/>
    <w:rsid w:val="00BB45A5"/>
    <w:rsid w:val="00BB7E46"/>
    <w:rsid w:val="00BC0148"/>
    <w:rsid w:val="00BC0A02"/>
    <w:rsid w:val="00BC1217"/>
    <w:rsid w:val="00BC2946"/>
    <w:rsid w:val="00BC3681"/>
    <w:rsid w:val="00BC3CA9"/>
    <w:rsid w:val="00BC52CD"/>
    <w:rsid w:val="00BC5515"/>
    <w:rsid w:val="00BC57E9"/>
    <w:rsid w:val="00BC63C7"/>
    <w:rsid w:val="00BC68E0"/>
    <w:rsid w:val="00BD0E03"/>
    <w:rsid w:val="00BD0E99"/>
    <w:rsid w:val="00BD2665"/>
    <w:rsid w:val="00BD3301"/>
    <w:rsid w:val="00BD4505"/>
    <w:rsid w:val="00BD45F0"/>
    <w:rsid w:val="00BD4820"/>
    <w:rsid w:val="00BD541B"/>
    <w:rsid w:val="00BD5AC3"/>
    <w:rsid w:val="00BD68B7"/>
    <w:rsid w:val="00BD7BDD"/>
    <w:rsid w:val="00BE0CC0"/>
    <w:rsid w:val="00BE1E48"/>
    <w:rsid w:val="00BE25A4"/>
    <w:rsid w:val="00BE513D"/>
    <w:rsid w:val="00BE7650"/>
    <w:rsid w:val="00BE7979"/>
    <w:rsid w:val="00BF05B6"/>
    <w:rsid w:val="00BF38BB"/>
    <w:rsid w:val="00BF4D7E"/>
    <w:rsid w:val="00BF4F0F"/>
    <w:rsid w:val="00BF4FFE"/>
    <w:rsid w:val="00BF6333"/>
    <w:rsid w:val="00BF653E"/>
    <w:rsid w:val="00BF6B70"/>
    <w:rsid w:val="00BF75A8"/>
    <w:rsid w:val="00BF7D50"/>
    <w:rsid w:val="00C0045C"/>
    <w:rsid w:val="00C01C5C"/>
    <w:rsid w:val="00C055AE"/>
    <w:rsid w:val="00C06E80"/>
    <w:rsid w:val="00C103C8"/>
    <w:rsid w:val="00C10FDF"/>
    <w:rsid w:val="00C12158"/>
    <w:rsid w:val="00C13A48"/>
    <w:rsid w:val="00C154D0"/>
    <w:rsid w:val="00C16F10"/>
    <w:rsid w:val="00C17B91"/>
    <w:rsid w:val="00C20A0A"/>
    <w:rsid w:val="00C214B4"/>
    <w:rsid w:val="00C21A86"/>
    <w:rsid w:val="00C236C8"/>
    <w:rsid w:val="00C23EFA"/>
    <w:rsid w:val="00C265C9"/>
    <w:rsid w:val="00C26D08"/>
    <w:rsid w:val="00C30A71"/>
    <w:rsid w:val="00C30FD1"/>
    <w:rsid w:val="00C32ED8"/>
    <w:rsid w:val="00C33084"/>
    <w:rsid w:val="00C33CEA"/>
    <w:rsid w:val="00C3484D"/>
    <w:rsid w:val="00C403B5"/>
    <w:rsid w:val="00C40416"/>
    <w:rsid w:val="00C408ED"/>
    <w:rsid w:val="00C42C0D"/>
    <w:rsid w:val="00C430F3"/>
    <w:rsid w:val="00C43E0C"/>
    <w:rsid w:val="00C44572"/>
    <w:rsid w:val="00C47B0C"/>
    <w:rsid w:val="00C5006B"/>
    <w:rsid w:val="00C50707"/>
    <w:rsid w:val="00C53EE1"/>
    <w:rsid w:val="00C5496B"/>
    <w:rsid w:val="00C558A8"/>
    <w:rsid w:val="00C55D03"/>
    <w:rsid w:val="00C568C7"/>
    <w:rsid w:val="00C57639"/>
    <w:rsid w:val="00C6090F"/>
    <w:rsid w:val="00C6449E"/>
    <w:rsid w:val="00C65A5E"/>
    <w:rsid w:val="00C674D1"/>
    <w:rsid w:val="00C67FAA"/>
    <w:rsid w:val="00C70B33"/>
    <w:rsid w:val="00C71126"/>
    <w:rsid w:val="00C72E75"/>
    <w:rsid w:val="00C74073"/>
    <w:rsid w:val="00C76A96"/>
    <w:rsid w:val="00C7774F"/>
    <w:rsid w:val="00C834AA"/>
    <w:rsid w:val="00C83750"/>
    <w:rsid w:val="00C86600"/>
    <w:rsid w:val="00C86903"/>
    <w:rsid w:val="00C871D8"/>
    <w:rsid w:val="00C872D5"/>
    <w:rsid w:val="00C87BB5"/>
    <w:rsid w:val="00C91A8A"/>
    <w:rsid w:val="00C9314D"/>
    <w:rsid w:val="00C93942"/>
    <w:rsid w:val="00C93FFF"/>
    <w:rsid w:val="00C94121"/>
    <w:rsid w:val="00C95F67"/>
    <w:rsid w:val="00C97F56"/>
    <w:rsid w:val="00CA1918"/>
    <w:rsid w:val="00CA1C13"/>
    <w:rsid w:val="00CA212B"/>
    <w:rsid w:val="00CA28D9"/>
    <w:rsid w:val="00CA2B9F"/>
    <w:rsid w:val="00CA395F"/>
    <w:rsid w:val="00CA460A"/>
    <w:rsid w:val="00CA6023"/>
    <w:rsid w:val="00CA6D13"/>
    <w:rsid w:val="00CA7122"/>
    <w:rsid w:val="00CA7A15"/>
    <w:rsid w:val="00CA7DE6"/>
    <w:rsid w:val="00CB044A"/>
    <w:rsid w:val="00CB1F56"/>
    <w:rsid w:val="00CB4557"/>
    <w:rsid w:val="00CB5436"/>
    <w:rsid w:val="00CB5958"/>
    <w:rsid w:val="00CC06ED"/>
    <w:rsid w:val="00CC0BD3"/>
    <w:rsid w:val="00CC0BF2"/>
    <w:rsid w:val="00CC14CD"/>
    <w:rsid w:val="00CC1B47"/>
    <w:rsid w:val="00CC2403"/>
    <w:rsid w:val="00CC2489"/>
    <w:rsid w:val="00CC2C9F"/>
    <w:rsid w:val="00CC3C9D"/>
    <w:rsid w:val="00CC3D04"/>
    <w:rsid w:val="00CC3DD6"/>
    <w:rsid w:val="00CC3E9C"/>
    <w:rsid w:val="00CC428E"/>
    <w:rsid w:val="00CC6E95"/>
    <w:rsid w:val="00CD1B73"/>
    <w:rsid w:val="00CD2ABD"/>
    <w:rsid w:val="00CD2D50"/>
    <w:rsid w:val="00CD4C50"/>
    <w:rsid w:val="00CD51B4"/>
    <w:rsid w:val="00CD6AF9"/>
    <w:rsid w:val="00CD71CA"/>
    <w:rsid w:val="00CE0A9A"/>
    <w:rsid w:val="00CE1260"/>
    <w:rsid w:val="00CE136C"/>
    <w:rsid w:val="00CE3921"/>
    <w:rsid w:val="00CE45DA"/>
    <w:rsid w:val="00CE739C"/>
    <w:rsid w:val="00CF01BF"/>
    <w:rsid w:val="00CF105C"/>
    <w:rsid w:val="00CF265D"/>
    <w:rsid w:val="00CF2EF0"/>
    <w:rsid w:val="00CF3819"/>
    <w:rsid w:val="00CF3F9F"/>
    <w:rsid w:val="00CF47F6"/>
    <w:rsid w:val="00CF5415"/>
    <w:rsid w:val="00CF5EA8"/>
    <w:rsid w:val="00CF60EE"/>
    <w:rsid w:val="00CF63E9"/>
    <w:rsid w:val="00D01500"/>
    <w:rsid w:val="00D03C34"/>
    <w:rsid w:val="00D045CB"/>
    <w:rsid w:val="00D05349"/>
    <w:rsid w:val="00D06429"/>
    <w:rsid w:val="00D070DB"/>
    <w:rsid w:val="00D07544"/>
    <w:rsid w:val="00D07F8D"/>
    <w:rsid w:val="00D1217C"/>
    <w:rsid w:val="00D1231F"/>
    <w:rsid w:val="00D1353E"/>
    <w:rsid w:val="00D13F35"/>
    <w:rsid w:val="00D145E4"/>
    <w:rsid w:val="00D14A55"/>
    <w:rsid w:val="00D15BF9"/>
    <w:rsid w:val="00D162D2"/>
    <w:rsid w:val="00D163B0"/>
    <w:rsid w:val="00D1675E"/>
    <w:rsid w:val="00D173D3"/>
    <w:rsid w:val="00D177EB"/>
    <w:rsid w:val="00D209BA"/>
    <w:rsid w:val="00D20AE0"/>
    <w:rsid w:val="00D21AEF"/>
    <w:rsid w:val="00D22323"/>
    <w:rsid w:val="00D22B4B"/>
    <w:rsid w:val="00D27E7D"/>
    <w:rsid w:val="00D30F61"/>
    <w:rsid w:val="00D31900"/>
    <w:rsid w:val="00D31957"/>
    <w:rsid w:val="00D32A00"/>
    <w:rsid w:val="00D33C2E"/>
    <w:rsid w:val="00D353E6"/>
    <w:rsid w:val="00D36932"/>
    <w:rsid w:val="00D36D66"/>
    <w:rsid w:val="00D401E6"/>
    <w:rsid w:val="00D40216"/>
    <w:rsid w:val="00D408AC"/>
    <w:rsid w:val="00D41C6C"/>
    <w:rsid w:val="00D42132"/>
    <w:rsid w:val="00D4645A"/>
    <w:rsid w:val="00D46ABF"/>
    <w:rsid w:val="00D50563"/>
    <w:rsid w:val="00D51901"/>
    <w:rsid w:val="00D51A0B"/>
    <w:rsid w:val="00D51E15"/>
    <w:rsid w:val="00D52154"/>
    <w:rsid w:val="00D5224D"/>
    <w:rsid w:val="00D53746"/>
    <w:rsid w:val="00D564F5"/>
    <w:rsid w:val="00D56748"/>
    <w:rsid w:val="00D56A3D"/>
    <w:rsid w:val="00D56FFB"/>
    <w:rsid w:val="00D619E1"/>
    <w:rsid w:val="00D64AD4"/>
    <w:rsid w:val="00D656F7"/>
    <w:rsid w:val="00D66455"/>
    <w:rsid w:val="00D66983"/>
    <w:rsid w:val="00D71271"/>
    <w:rsid w:val="00D7149B"/>
    <w:rsid w:val="00D7167D"/>
    <w:rsid w:val="00D71D25"/>
    <w:rsid w:val="00D7203A"/>
    <w:rsid w:val="00D72457"/>
    <w:rsid w:val="00D733C3"/>
    <w:rsid w:val="00D73D03"/>
    <w:rsid w:val="00D76C53"/>
    <w:rsid w:val="00D80FAF"/>
    <w:rsid w:val="00D81024"/>
    <w:rsid w:val="00D819D3"/>
    <w:rsid w:val="00D81FCE"/>
    <w:rsid w:val="00D83248"/>
    <w:rsid w:val="00D84EFE"/>
    <w:rsid w:val="00D866B2"/>
    <w:rsid w:val="00D90BC3"/>
    <w:rsid w:val="00D92196"/>
    <w:rsid w:val="00D9250E"/>
    <w:rsid w:val="00D927B4"/>
    <w:rsid w:val="00D95CCB"/>
    <w:rsid w:val="00D9633E"/>
    <w:rsid w:val="00DA0201"/>
    <w:rsid w:val="00DA14A6"/>
    <w:rsid w:val="00DA1BFA"/>
    <w:rsid w:val="00DA2AF6"/>
    <w:rsid w:val="00DA5C7F"/>
    <w:rsid w:val="00DA6334"/>
    <w:rsid w:val="00DA6D06"/>
    <w:rsid w:val="00DB40A9"/>
    <w:rsid w:val="00DB44D0"/>
    <w:rsid w:val="00DB4B67"/>
    <w:rsid w:val="00DB52CD"/>
    <w:rsid w:val="00DB58EC"/>
    <w:rsid w:val="00DB7312"/>
    <w:rsid w:val="00DB780A"/>
    <w:rsid w:val="00DC0CC3"/>
    <w:rsid w:val="00DC15E6"/>
    <w:rsid w:val="00DC40C9"/>
    <w:rsid w:val="00DC4146"/>
    <w:rsid w:val="00DC5F2A"/>
    <w:rsid w:val="00DC6392"/>
    <w:rsid w:val="00DC6E99"/>
    <w:rsid w:val="00DC7679"/>
    <w:rsid w:val="00DD00F0"/>
    <w:rsid w:val="00DD028C"/>
    <w:rsid w:val="00DD14DA"/>
    <w:rsid w:val="00DD296A"/>
    <w:rsid w:val="00DD39E5"/>
    <w:rsid w:val="00DD3D78"/>
    <w:rsid w:val="00DD6418"/>
    <w:rsid w:val="00DD7254"/>
    <w:rsid w:val="00DD7A6E"/>
    <w:rsid w:val="00DE11B0"/>
    <w:rsid w:val="00DE12CF"/>
    <w:rsid w:val="00DE1344"/>
    <w:rsid w:val="00DE1404"/>
    <w:rsid w:val="00DE168F"/>
    <w:rsid w:val="00DE1B13"/>
    <w:rsid w:val="00DE1EA2"/>
    <w:rsid w:val="00DE30F4"/>
    <w:rsid w:val="00DE3AAC"/>
    <w:rsid w:val="00DE3AC8"/>
    <w:rsid w:val="00DE400C"/>
    <w:rsid w:val="00DE419A"/>
    <w:rsid w:val="00DE4E59"/>
    <w:rsid w:val="00DE58AE"/>
    <w:rsid w:val="00DE75C5"/>
    <w:rsid w:val="00DE7799"/>
    <w:rsid w:val="00DF1B6C"/>
    <w:rsid w:val="00DF2B45"/>
    <w:rsid w:val="00DF31A1"/>
    <w:rsid w:val="00DF327C"/>
    <w:rsid w:val="00DF4A27"/>
    <w:rsid w:val="00DF4A8E"/>
    <w:rsid w:val="00DF58C7"/>
    <w:rsid w:val="00DF6643"/>
    <w:rsid w:val="00DF6886"/>
    <w:rsid w:val="00DF7510"/>
    <w:rsid w:val="00DF7F43"/>
    <w:rsid w:val="00E01882"/>
    <w:rsid w:val="00E034D7"/>
    <w:rsid w:val="00E03A74"/>
    <w:rsid w:val="00E045FA"/>
    <w:rsid w:val="00E0709D"/>
    <w:rsid w:val="00E10524"/>
    <w:rsid w:val="00E10B84"/>
    <w:rsid w:val="00E117E6"/>
    <w:rsid w:val="00E118E6"/>
    <w:rsid w:val="00E11FB7"/>
    <w:rsid w:val="00E12C01"/>
    <w:rsid w:val="00E12DB2"/>
    <w:rsid w:val="00E13AD6"/>
    <w:rsid w:val="00E13FD9"/>
    <w:rsid w:val="00E14D49"/>
    <w:rsid w:val="00E14EFD"/>
    <w:rsid w:val="00E16C4A"/>
    <w:rsid w:val="00E17003"/>
    <w:rsid w:val="00E17FBE"/>
    <w:rsid w:val="00E17FC6"/>
    <w:rsid w:val="00E206EF"/>
    <w:rsid w:val="00E211FD"/>
    <w:rsid w:val="00E2161E"/>
    <w:rsid w:val="00E21B61"/>
    <w:rsid w:val="00E21BED"/>
    <w:rsid w:val="00E21F62"/>
    <w:rsid w:val="00E2252A"/>
    <w:rsid w:val="00E22598"/>
    <w:rsid w:val="00E22FA6"/>
    <w:rsid w:val="00E235AB"/>
    <w:rsid w:val="00E23A75"/>
    <w:rsid w:val="00E23BDB"/>
    <w:rsid w:val="00E2427E"/>
    <w:rsid w:val="00E24E98"/>
    <w:rsid w:val="00E259C3"/>
    <w:rsid w:val="00E26F1B"/>
    <w:rsid w:val="00E26F45"/>
    <w:rsid w:val="00E27C6C"/>
    <w:rsid w:val="00E30705"/>
    <w:rsid w:val="00E3092B"/>
    <w:rsid w:val="00E30B4E"/>
    <w:rsid w:val="00E35FA9"/>
    <w:rsid w:val="00E3646D"/>
    <w:rsid w:val="00E37E2E"/>
    <w:rsid w:val="00E403BA"/>
    <w:rsid w:val="00E4049F"/>
    <w:rsid w:val="00E41265"/>
    <w:rsid w:val="00E412CC"/>
    <w:rsid w:val="00E417AD"/>
    <w:rsid w:val="00E42CD7"/>
    <w:rsid w:val="00E433AA"/>
    <w:rsid w:val="00E437ED"/>
    <w:rsid w:val="00E44C26"/>
    <w:rsid w:val="00E460A2"/>
    <w:rsid w:val="00E47559"/>
    <w:rsid w:val="00E47670"/>
    <w:rsid w:val="00E47F07"/>
    <w:rsid w:val="00E5061F"/>
    <w:rsid w:val="00E508F3"/>
    <w:rsid w:val="00E50D83"/>
    <w:rsid w:val="00E50FF0"/>
    <w:rsid w:val="00E519C4"/>
    <w:rsid w:val="00E56E86"/>
    <w:rsid w:val="00E60515"/>
    <w:rsid w:val="00E61AFB"/>
    <w:rsid w:val="00E61DF1"/>
    <w:rsid w:val="00E62A42"/>
    <w:rsid w:val="00E62ED9"/>
    <w:rsid w:val="00E6401B"/>
    <w:rsid w:val="00E66FAC"/>
    <w:rsid w:val="00E67045"/>
    <w:rsid w:val="00E678BE"/>
    <w:rsid w:val="00E70A99"/>
    <w:rsid w:val="00E71BC7"/>
    <w:rsid w:val="00E71C66"/>
    <w:rsid w:val="00E71E1D"/>
    <w:rsid w:val="00E73344"/>
    <w:rsid w:val="00E734D9"/>
    <w:rsid w:val="00E73E5F"/>
    <w:rsid w:val="00E73FEA"/>
    <w:rsid w:val="00E74592"/>
    <w:rsid w:val="00E75300"/>
    <w:rsid w:val="00E7639A"/>
    <w:rsid w:val="00E76D26"/>
    <w:rsid w:val="00E80263"/>
    <w:rsid w:val="00E807A0"/>
    <w:rsid w:val="00E80CCE"/>
    <w:rsid w:val="00E819EC"/>
    <w:rsid w:val="00E82352"/>
    <w:rsid w:val="00E86443"/>
    <w:rsid w:val="00E867DF"/>
    <w:rsid w:val="00E86ED5"/>
    <w:rsid w:val="00E90B0A"/>
    <w:rsid w:val="00E91998"/>
    <w:rsid w:val="00E9250C"/>
    <w:rsid w:val="00E92AAA"/>
    <w:rsid w:val="00E9464D"/>
    <w:rsid w:val="00E94E60"/>
    <w:rsid w:val="00E95173"/>
    <w:rsid w:val="00E95C82"/>
    <w:rsid w:val="00E96148"/>
    <w:rsid w:val="00E965DE"/>
    <w:rsid w:val="00E968AA"/>
    <w:rsid w:val="00E96F26"/>
    <w:rsid w:val="00E97873"/>
    <w:rsid w:val="00E97D6C"/>
    <w:rsid w:val="00EA06BB"/>
    <w:rsid w:val="00EA2757"/>
    <w:rsid w:val="00EA38FC"/>
    <w:rsid w:val="00EA6A04"/>
    <w:rsid w:val="00EB3665"/>
    <w:rsid w:val="00EB3AE3"/>
    <w:rsid w:val="00EB4EED"/>
    <w:rsid w:val="00EB50F2"/>
    <w:rsid w:val="00EB7168"/>
    <w:rsid w:val="00EC0716"/>
    <w:rsid w:val="00EC118E"/>
    <w:rsid w:val="00EC2802"/>
    <w:rsid w:val="00EC4EA6"/>
    <w:rsid w:val="00EC5020"/>
    <w:rsid w:val="00EC71E9"/>
    <w:rsid w:val="00EC7CAE"/>
    <w:rsid w:val="00EC7F39"/>
    <w:rsid w:val="00ED0E87"/>
    <w:rsid w:val="00ED1DD1"/>
    <w:rsid w:val="00ED38C1"/>
    <w:rsid w:val="00ED4B7D"/>
    <w:rsid w:val="00ED4C9E"/>
    <w:rsid w:val="00ED5277"/>
    <w:rsid w:val="00ED61FE"/>
    <w:rsid w:val="00ED6E7F"/>
    <w:rsid w:val="00ED7E4E"/>
    <w:rsid w:val="00EE0297"/>
    <w:rsid w:val="00EE0BD0"/>
    <w:rsid w:val="00EE1271"/>
    <w:rsid w:val="00EE1F89"/>
    <w:rsid w:val="00EE4F3D"/>
    <w:rsid w:val="00EE50B7"/>
    <w:rsid w:val="00EF1B83"/>
    <w:rsid w:val="00EF2F32"/>
    <w:rsid w:val="00EF3844"/>
    <w:rsid w:val="00EF3E61"/>
    <w:rsid w:val="00EF4A83"/>
    <w:rsid w:val="00EF511B"/>
    <w:rsid w:val="00EF728D"/>
    <w:rsid w:val="00F0078C"/>
    <w:rsid w:val="00F0091B"/>
    <w:rsid w:val="00F01AB9"/>
    <w:rsid w:val="00F02F08"/>
    <w:rsid w:val="00F03B57"/>
    <w:rsid w:val="00F03E2D"/>
    <w:rsid w:val="00F0434C"/>
    <w:rsid w:val="00F04BD1"/>
    <w:rsid w:val="00F05D14"/>
    <w:rsid w:val="00F064A8"/>
    <w:rsid w:val="00F07506"/>
    <w:rsid w:val="00F07F8C"/>
    <w:rsid w:val="00F1016C"/>
    <w:rsid w:val="00F1057A"/>
    <w:rsid w:val="00F10796"/>
    <w:rsid w:val="00F116B7"/>
    <w:rsid w:val="00F155BD"/>
    <w:rsid w:val="00F15980"/>
    <w:rsid w:val="00F15DD2"/>
    <w:rsid w:val="00F16B4C"/>
    <w:rsid w:val="00F20335"/>
    <w:rsid w:val="00F20382"/>
    <w:rsid w:val="00F209ED"/>
    <w:rsid w:val="00F210FD"/>
    <w:rsid w:val="00F22150"/>
    <w:rsid w:val="00F23239"/>
    <w:rsid w:val="00F238D4"/>
    <w:rsid w:val="00F23E65"/>
    <w:rsid w:val="00F23EDE"/>
    <w:rsid w:val="00F27242"/>
    <w:rsid w:val="00F322F8"/>
    <w:rsid w:val="00F33174"/>
    <w:rsid w:val="00F359A1"/>
    <w:rsid w:val="00F401B6"/>
    <w:rsid w:val="00F40E57"/>
    <w:rsid w:val="00F410EC"/>
    <w:rsid w:val="00F41404"/>
    <w:rsid w:val="00F41C59"/>
    <w:rsid w:val="00F41F0E"/>
    <w:rsid w:val="00F41F17"/>
    <w:rsid w:val="00F42434"/>
    <w:rsid w:val="00F43206"/>
    <w:rsid w:val="00F43CE2"/>
    <w:rsid w:val="00F44CE3"/>
    <w:rsid w:val="00F44E73"/>
    <w:rsid w:val="00F45475"/>
    <w:rsid w:val="00F46144"/>
    <w:rsid w:val="00F5035C"/>
    <w:rsid w:val="00F50386"/>
    <w:rsid w:val="00F50458"/>
    <w:rsid w:val="00F50599"/>
    <w:rsid w:val="00F52213"/>
    <w:rsid w:val="00F5222F"/>
    <w:rsid w:val="00F524FF"/>
    <w:rsid w:val="00F52A14"/>
    <w:rsid w:val="00F52F10"/>
    <w:rsid w:val="00F52F76"/>
    <w:rsid w:val="00F52FBB"/>
    <w:rsid w:val="00F54BCF"/>
    <w:rsid w:val="00F552D5"/>
    <w:rsid w:val="00F55C15"/>
    <w:rsid w:val="00F566B9"/>
    <w:rsid w:val="00F56CFB"/>
    <w:rsid w:val="00F56ED1"/>
    <w:rsid w:val="00F5749E"/>
    <w:rsid w:val="00F57F46"/>
    <w:rsid w:val="00F605A1"/>
    <w:rsid w:val="00F62255"/>
    <w:rsid w:val="00F628F5"/>
    <w:rsid w:val="00F63F92"/>
    <w:rsid w:val="00F65698"/>
    <w:rsid w:val="00F65AFA"/>
    <w:rsid w:val="00F6782D"/>
    <w:rsid w:val="00F67F5F"/>
    <w:rsid w:val="00F72EC1"/>
    <w:rsid w:val="00F74CFE"/>
    <w:rsid w:val="00F752EB"/>
    <w:rsid w:val="00F7619A"/>
    <w:rsid w:val="00F77111"/>
    <w:rsid w:val="00F7729E"/>
    <w:rsid w:val="00F77B45"/>
    <w:rsid w:val="00F8001E"/>
    <w:rsid w:val="00F805AD"/>
    <w:rsid w:val="00F80D3D"/>
    <w:rsid w:val="00F80DCE"/>
    <w:rsid w:val="00F8244D"/>
    <w:rsid w:val="00F8295E"/>
    <w:rsid w:val="00F83118"/>
    <w:rsid w:val="00F84A7E"/>
    <w:rsid w:val="00F8568A"/>
    <w:rsid w:val="00F85EB3"/>
    <w:rsid w:val="00F86717"/>
    <w:rsid w:val="00F87A5D"/>
    <w:rsid w:val="00F90315"/>
    <w:rsid w:val="00F909DD"/>
    <w:rsid w:val="00F910F4"/>
    <w:rsid w:val="00F91558"/>
    <w:rsid w:val="00F91BB7"/>
    <w:rsid w:val="00F92B24"/>
    <w:rsid w:val="00F93891"/>
    <w:rsid w:val="00F965AC"/>
    <w:rsid w:val="00FA005C"/>
    <w:rsid w:val="00FA0182"/>
    <w:rsid w:val="00FA174E"/>
    <w:rsid w:val="00FA1901"/>
    <w:rsid w:val="00FA1F5E"/>
    <w:rsid w:val="00FA23FF"/>
    <w:rsid w:val="00FA5BA5"/>
    <w:rsid w:val="00FA606B"/>
    <w:rsid w:val="00FB19DD"/>
    <w:rsid w:val="00FB1A26"/>
    <w:rsid w:val="00FB436C"/>
    <w:rsid w:val="00FB6C3C"/>
    <w:rsid w:val="00FB7B3A"/>
    <w:rsid w:val="00FC11CC"/>
    <w:rsid w:val="00FC20F8"/>
    <w:rsid w:val="00FC2236"/>
    <w:rsid w:val="00FC22CC"/>
    <w:rsid w:val="00FC2390"/>
    <w:rsid w:val="00FC28AC"/>
    <w:rsid w:val="00FC30E5"/>
    <w:rsid w:val="00FC38FF"/>
    <w:rsid w:val="00FC4017"/>
    <w:rsid w:val="00FC42FD"/>
    <w:rsid w:val="00FD0396"/>
    <w:rsid w:val="00FD41E0"/>
    <w:rsid w:val="00FD7080"/>
    <w:rsid w:val="00FE064B"/>
    <w:rsid w:val="00FE084D"/>
    <w:rsid w:val="00FE10CE"/>
    <w:rsid w:val="00FE1351"/>
    <w:rsid w:val="00FE1F68"/>
    <w:rsid w:val="00FE3A2E"/>
    <w:rsid w:val="00FE40FB"/>
    <w:rsid w:val="00FE4A78"/>
    <w:rsid w:val="00FE5555"/>
    <w:rsid w:val="00FE6795"/>
    <w:rsid w:val="00FF1898"/>
    <w:rsid w:val="00FF1C67"/>
    <w:rsid w:val="00FF1E55"/>
    <w:rsid w:val="00FF2362"/>
    <w:rsid w:val="00FF2889"/>
    <w:rsid w:val="00FF2B6A"/>
    <w:rsid w:val="00FF2FC5"/>
    <w:rsid w:val="00FF3CF1"/>
    <w:rsid w:val="00FF482C"/>
    <w:rsid w:val="00FF493A"/>
    <w:rsid w:val="00FF6A57"/>
    <w:rsid w:val="00FF7927"/>
    <w:rsid w:val="00FF79C7"/>
    <w:rsid w:val="00FF7A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Hyperlink" w:locked="1" w:uiPriority="0"/>
    <w:lsdException w:name="Strong" w:locked="1" w:semiHidden="0" w:uiPriority="22" w:unhideWhenUsed="0" w:qFormat="1"/>
    <w:lsdException w:name="Emphasis" w:locked="1" w:semiHidden="0" w:uiPriority="0" w:unhideWhenUsed="0" w:qFormat="1"/>
    <w:lsdException w:name="Normal (Web)" w:locked="1"/>
    <w:lsdException w:name="annotation subjec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8E2"/>
    <w:rPr>
      <w:sz w:val="20"/>
      <w:szCs w:val="20"/>
    </w:rPr>
  </w:style>
  <w:style w:type="paragraph" w:styleId="Heading1">
    <w:name w:val="heading 1"/>
    <w:basedOn w:val="Normal"/>
    <w:next w:val="Normal"/>
    <w:link w:val="Heading1Char"/>
    <w:uiPriority w:val="99"/>
    <w:qFormat/>
    <w:rsid w:val="004048E2"/>
    <w:pPr>
      <w:keepNext/>
      <w:outlineLvl w:val="0"/>
    </w:pPr>
    <w:rPr>
      <w:sz w:val="24"/>
    </w:rPr>
  </w:style>
  <w:style w:type="paragraph" w:styleId="Heading2">
    <w:name w:val="heading 2"/>
    <w:basedOn w:val="Normal"/>
    <w:next w:val="Normal"/>
    <w:link w:val="Heading2Char"/>
    <w:uiPriority w:val="99"/>
    <w:qFormat/>
    <w:rsid w:val="004048E2"/>
    <w:pPr>
      <w:keepNext/>
      <w:jc w:val="right"/>
      <w:outlineLvl w:val="1"/>
    </w:pPr>
    <w:rPr>
      <w:sz w:val="24"/>
    </w:rPr>
  </w:style>
  <w:style w:type="paragraph" w:styleId="Heading3">
    <w:name w:val="heading 3"/>
    <w:basedOn w:val="Normal"/>
    <w:next w:val="Normal"/>
    <w:link w:val="Heading3Char"/>
    <w:uiPriority w:val="99"/>
    <w:qFormat/>
    <w:rsid w:val="004048E2"/>
    <w:pPr>
      <w:keepNext/>
      <w:outlineLvl w:val="2"/>
    </w:pPr>
    <w:rPr>
      <w:b/>
      <w:sz w:val="22"/>
    </w:rPr>
  </w:style>
  <w:style w:type="paragraph" w:styleId="Heading4">
    <w:name w:val="heading 4"/>
    <w:basedOn w:val="Normal"/>
    <w:next w:val="Normal"/>
    <w:link w:val="Heading4Char"/>
    <w:uiPriority w:val="99"/>
    <w:qFormat/>
    <w:rsid w:val="004048E2"/>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1E8"/>
    <w:rPr>
      <w:rFonts w:cs="Times New Roman"/>
      <w:sz w:val="24"/>
    </w:rPr>
  </w:style>
  <w:style w:type="character" w:customStyle="1" w:styleId="Heading2Char">
    <w:name w:val="Heading 2 Char"/>
    <w:basedOn w:val="DefaultParagraphFont"/>
    <w:link w:val="Heading2"/>
    <w:uiPriority w:val="99"/>
    <w:locked/>
    <w:rsid w:val="00AC61E8"/>
    <w:rPr>
      <w:rFonts w:cs="Times New Roman"/>
      <w:sz w:val="24"/>
    </w:rPr>
  </w:style>
  <w:style w:type="character" w:customStyle="1" w:styleId="Heading3Char">
    <w:name w:val="Heading 3 Char"/>
    <w:basedOn w:val="DefaultParagraphFont"/>
    <w:link w:val="Heading3"/>
    <w:uiPriority w:val="99"/>
    <w:locked/>
    <w:rsid w:val="00AC61E8"/>
    <w:rPr>
      <w:rFonts w:cs="Times New Roman"/>
      <w:b/>
      <w:sz w:val="22"/>
    </w:rPr>
  </w:style>
  <w:style w:type="character" w:customStyle="1" w:styleId="Heading4Char">
    <w:name w:val="Heading 4 Char"/>
    <w:basedOn w:val="DefaultParagraphFont"/>
    <w:link w:val="Heading4"/>
    <w:uiPriority w:val="99"/>
    <w:locked/>
    <w:rsid w:val="00AC61E8"/>
    <w:rPr>
      <w:rFonts w:cs="Times New Roman"/>
      <w:b/>
    </w:rPr>
  </w:style>
  <w:style w:type="paragraph" w:styleId="BodyText">
    <w:name w:val="Body Text"/>
    <w:basedOn w:val="Normal"/>
    <w:link w:val="BodyTextChar"/>
    <w:uiPriority w:val="99"/>
    <w:rsid w:val="004048E2"/>
    <w:rPr>
      <w:sz w:val="22"/>
    </w:rPr>
  </w:style>
  <w:style w:type="character" w:customStyle="1" w:styleId="BodyTextChar">
    <w:name w:val="Body Text Char"/>
    <w:basedOn w:val="DefaultParagraphFont"/>
    <w:link w:val="BodyText"/>
    <w:uiPriority w:val="99"/>
    <w:locked/>
    <w:rsid w:val="00AC61E8"/>
    <w:rPr>
      <w:rFonts w:cs="Times New Roman"/>
      <w:sz w:val="22"/>
    </w:rPr>
  </w:style>
  <w:style w:type="paragraph" w:styleId="BodyText2">
    <w:name w:val="Body Text 2"/>
    <w:basedOn w:val="Normal"/>
    <w:link w:val="BodyText2Char"/>
    <w:uiPriority w:val="99"/>
    <w:rsid w:val="004048E2"/>
    <w:rPr>
      <w:rFonts w:ascii="Arial" w:hAnsi="Arial"/>
      <w:sz w:val="18"/>
    </w:rPr>
  </w:style>
  <w:style w:type="character" w:customStyle="1" w:styleId="BodyText2Char">
    <w:name w:val="Body Text 2 Char"/>
    <w:basedOn w:val="DefaultParagraphFont"/>
    <w:link w:val="BodyText2"/>
    <w:uiPriority w:val="99"/>
    <w:locked/>
    <w:rsid w:val="00AC61E8"/>
    <w:rPr>
      <w:rFonts w:ascii="Arial" w:hAnsi="Arial" w:cs="Times New Roman"/>
      <w:sz w:val="18"/>
    </w:rPr>
  </w:style>
  <w:style w:type="paragraph" w:styleId="BalloonText">
    <w:name w:val="Balloon Text"/>
    <w:basedOn w:val="Normal"/>
    <w:link w:val="BalloonTextChar"/>
    <w:uiPriority w:val="99"/>
    <w:semiHidden/>
    <w:rsid w:val="004048E2"/>
    <w:rPr>
      <w:rFonts w:ascii="Tahoma" w:hAnsi="Tahoma"/>
      <w:sz w:val="16"/>
      <w:szCs w:val="16"/>
    </w:rPr>
  </w:style>
  <w:style w:type="character" w:customStyle="1" w:styleId="BalloonTextChar">
    <w:name w:val="Balloon Text Char"/>
    <w:basedOn w:val="DefaultParagraphFont"/>
    <w:link w:val="BalloonText"/>
    <w:uiPriority w:val="99"/>
    <w:semiHidden/>
    <w:locked/>
    <w:rsid w:val="00AC61E8"/>
    <w:rPr>
      <w:rFonts w:ascii="Tahoma" w:hAnsi="Tahoma" w:cs="Times New Roman"/>
      <w:sz w:val="16"/>
    </w:rPr>
  </w:style>
  <w:style w:type="paragraph" w:customStyle="1" w:styleId="Indent1">
    <w:name w:val="Indent 1"/>
    <w:basedOn w:val="Normal"/>
    <w:uiPriority w:val="99"/>
    <w:rsid w:val="004048E2"/>
    <w:rPr>
      <w:sz w:val="24"/>
    </w:rPr>
  </w:style>
  <w:style w:type="character" w:styleId="Hyperlink">
    <w:name w:val="Hyperlink"/>
    <w:basedOn w:val="DefaultParagraphFont"/>
    <w:uiPriority w:val="99"/>
    <w:rsid w:val="004048E2"/>
    <w:rPr>
      <w:rFonts w:cs="Times New Roman"/>
      <w:color w:val="0000FF"/>
      <w:u w:val="single"/>
    </w:rPr>
  </w:style>
  <w:style w:type="character" w:styleId="FollowedHyperlink">
    <w:name w:val="FollowedHyperlink"/>
    <w:basedOn w:val="DefaultParagraphFont"/>
    <w:uiPriority w:val="99"/>
    <w:rsid w:val="004048E2"/>
    <w:rPr>
      <w:rFonts w:cs="Times New Roman"/>
      <w:color w:val="800080"/>
      <w:u w:val="single"/>
    </w:rPr>
  </w:style>
  <w:style w:type="paragraph" w:styleId="BodyText3">
    <w:name w:val="Body Text 3"/>
    <w:basedOn w:val="Normal"/>
    <w:link w:val="BodyText3Char"/>
    <w:uiPriority w:val="99"/>
    <w:rsid w:val="004048E2"/>
    <w:pPr>
      <w:jc w:val="both"/>
    </w:pPr>
    <w:rPr>
      <w:rFonts w:ascii="Arial Narrow" w:hAnsi="Arial Narrow" w:cs="Arial"/>
      <w:sz w:val="22"/>
      <w:szCs w:val="16"/>
      <w:lang w:val="en-US" w:eastAsia="en-US"/>
    </w:rPr>
  </w:style>
  <w:style w:type="character" w:customStyle="1" w:styleId="BodyText3Char">
    <w:name w:val="Body Text 3 Char"/>
    <w:basedOn w:val="DefaultParagraphFont"/>
    <w:link w:val="BodyText3"/>
    <w:uiPriority w:val="99"/>
    <w:semiHidden/>
    <w:locked/>
    <w:rsid w:val="00F910F4"/>
    <w:rPr>
      <w:rFonts w:cs="Times New Roman"/>
      <w:sz w:val="16"/>
      <w:szCs w:val="16"/>
    </w:rPr>
  </w:style>
  <w:style w:type="paragraph" w:styleId="Header">
    <w:name w:val="header"/>
    <w:basedOn w:val="Normal"/>
    <w:link w:val="HeaderChar"/>
    <w:uiPriority w:val="99"/>
    <w:rsid w:val="004048E2"/>
    <w:pPr>
      <w:tabs>
        <w:tab w:val="center" w:pos="4153"/>
        <w:tab w:val="right" w:pos="8306"/>
      </w:tabs>
    </w:pPr>
  </w:style>
  <w:style w:type="character" w:customStyle="1" w:styleId="HeaderChar">
    <w:name w:val="Header Char"/>
    <w:basedOn w:val="DefaultParagraphFont"/>
    <w:link w:val="Header"/>
    <w:uiPriority w:val="99"/>
    <w:locked/>
    <w:rsid w:val="00AC61E8"/>
    <w:rPr>
      <w:rFonts w:cs="Times New Roman"/>
    </w:rPr>
  </w:style>
  <w:style w:type="paragraph" w:styleId="Footer">
    <w:name w:val="footer"/>
    <w:basedOn w:val="Normal"/>
    <w:link w:val="FooterChar"/>
    <w:uiPriority w:val="99"/>
    <w:rsid w:val="004048E2"/>
    <w:pPr>
      <w:tabs>
        <w:tab w:val="center" w:pos="4153"/>
        <w:tab w:val="right" w:pos="8306"/>
      </w:tabs>
    </w:pPr>
  </w:style>
  <w:style w:type="character" w:customStyle="1" w:styleId="FooterChar">
    <w:name w:val="Footer Char"/>
    <w:basedOn w:val="DefaultParagraphFont"/>
    <w:link w:val="Footer"/>
    <w:uiPriority w:val="99"/>
    <w:locked/>
    <w:rsid w:val="00AC61E8"/>
    <w:rPr>
      <w:rFonts w:cs="Times New Roman"/>
    </w:rPr>
  </w:style>
  <w:style w:type="character" w:styleId="PageNumber">
    <w:name w:val="page number"/>
    <w:basedOn w:val="DefaultParagraphFont"/>
    <w:uiPriority w:val="99"/>
    <w:rsid w:val="004048E2"/>
    <w:rPr>
      <w:rFonts w:cs="Times New Roman"/>
    </w:rPr>
  </w:style>
  <w:style w:type="paragraph" w:styleId="NormalWeb">
    <w:name w:val="Normal (Web)"/>
    <w:basedOn w:val="Normal"/>
    <w:uiPriority w:val="99"/>
    <w:rsid w:val="004048E2"/>
    <w:pPr>
      <w:spacing w:before="100" w:beforeAutospacing="1" w:after="100" w:afterAutospacing="1"/>
    </w:pPr>
    <w:rPr>
      <w:sz w:val="24"/>
      <w:szCs w:val="24"/>
    </w:rPr>
  </w:style>
  <w:style w:type="character" w:customStyle="1" w:styleId="storytext">
    <w:name w:val="storytext"/>
    <w:basedOn w:val="DefaultParagraphFont"/>
    <w:uiPriority w:val="99"/>
    <w:rsid w:val="004048E2"/>
    <w:rPr>
      <w:rFonts w:cs="Times New Roman"/>
    </w:rPr>
  </w:style>
  <w:style w:type="character" w:styleId="CommentReference">
    <w:name w:val="annotation reference"/>
    <w:basedOn w:val="DefaultParagraphFont"/>
    <w:uiPriority w:val="99"/>
    <w:semiHidden/>
    <w:rsid w:val="004048E2"/>
    <w:rPr>
      <w:rFonts w:cs="Times New Roman"/>
      <w:sz w:val="16"/>
    </w:rPr>
  </w:style>
  <w:style w:type="paragraph" w:styleId="CommentText">
    <w:name w:val="annotation text"/>
    <w:basedOn w:val="Normal"/>
    <w:link w:val="CommentTextChar"/>
    <w:uiPriority w:val="99"/>
    <w:semiHidden/>
    <w:rsid w:val="004048E2"/>
  </w:style>
  <w:style w:type="character" w:customStyle="1" w:styleId="CommentTextChar">
    <w:name w:val="Comment Text Char"/>
    <w:basedOn w:val="DefaultParagraphFont"/>
    <w:link w:val="CommentText"/>
    <w:uiPriority w:val="99"/>
    <w:semiHidden/>
    <w:locked/>
    <w:rsid w:val="00AC61E8"/>
    <w:rPr>
      <w:rFonts w:cs="Times New Roman"/>
    </w:rPr>
  </w:style>
  <w:style w:type="paragraph" w:styleId="CommentSubject">
    <w:name w:val="annotation subject"/>
    <w:basedOn w:val="CommentText"/>
    <w:next w:val="CommentText"/>
    <w:link w:val="CommentSubjectChar"/>
    <w:uiPriority w:val="99"/>
    <w:semiHidden/>
    <w:rsid w:val="004048E2"/>
    <w:rPr>
      <w:b/>
      <w:bCs/>
    </w:rPr>
  </w:style>
  <w:style w:type="character" w:customStyle="1" w:styleId="CommentSubjectChar">
    <w:name w:val="Comment Subject Char"/>
    <w:basedOn w:val="CommentTextChar"/>
    <w:link w:val="CommentSubject"/>
    <w:uiPriority w:val="99"/>
    <w:semiHidden/>
    <w:locked/>
    <w:rsid w:val="00AC61E8"/>
    <w:rPr>
      <w:rFonts w:cs="Times New Roman"/>
      <w:b/>
    </w:rPr>
  </w:style>
  <w:style w:type="table" w:styleId="TableGrid">
    <w:name w:val="Table Grid"/>
    <w:basedOn w:val="TableNormal"/>
    <w:uiPriority w:val="99"/>
    <w:rsid w:val="00873F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63D85"/>
  </w:style>
  <w:style w:type="character" w:customStyle="1" w:styleId="FootnoteTextChar">
    <w:name w:val="Footnote Text Char"/>
    <w:basedOn w:val="DefaultParagraphFont"/>
    <w:link w:val="FootnoteText"/>
    <w:uiPriority w:val="99"/>
    <w:semiHidden/>
    <w:locked/>
    <w:rsid w:val="00F910F4"/>
    <w:rPr>
      <w:rFonts w:cs="Times New Roman"/>
      <w:sz w:val="20"/>
      <w:szCs w:val="20"/>
    </w:rPr>
  </w:style>
  <w:style w:type="character" w:styleId="FootnoteReference">
    <w:name w:val="footnote reference"/>
    <w:basedOn w:val="DefaultParagraphFont"/>
    <w:uiPriority w:val="99"/>
    <w:semiHidden/>
    <w:rsid w:val="00A63D85"/>
    <w:rPr>
      <w:rFonts w:cs="Times New Roman"/>
      <w:vertAlign w:val="superscript"/>
    </w:rPr>
  </w:style>
  <w:style w:type="character" w:customStyle="1" w:styleId="apple-style-span">
    <w:name w:val="apple-style-span"/>
    <w:basedOn w:val="DefaultParagraphFont"/>
    <w:uiPriority w:val="99"/>
    <w:rsid w:val="00EE0297"/>
    <w:rPr>
      <w:rFonts w:cs="Times New Roman"/>
    </w:rPr>
  </w:style>
  <w:style w:type="character" w:customStyle="1" w:styleId="apple-converted-space">
    <w:name w:val="apple-converted-space"/>
    <w:basedOn w:val="DefaultParagraphFont"/>
    <w:rsid w:val="00B219FD"/>
    <w:rPr>
      <w:rFonts w:cs="Times New Roman"/>
    </w:rPr>
  </w:style>
  <w:style w:type="paragraph" w:customStyle="1" w:styleId="ColorfulList-Accent11">
    <w:name w:val="Colorful List - Accent 11"/>
    <w:basedOn w:val="Normal"/>
    <w:uiPriority w:val="99"/>
    <w:rsid w:val="00AC61E8"/>
    <w:pPr>
      <w:spacing w:before="120" w:after="200"/>
      <w:ind w:left="720" w:hanging="357"/>
      <w:contextualSpacing/>
    </w:pPr>
    <w:rPr>
      <w:rFonts w:ascii="Calibri" w:hAnsi="Calibri"/>
      <w:sz w:val="22"/>
      <w:szCs w:val="22"/>
      <w:lang w:eastAsia="en-US"/>
    </w:rPr>
  </w:style>
  <w:style w:type="paragraph" w:customStyle="1" w:styleId="NormalArial">
    <w:name w:val="Normal + Arial"/>
    <w:aliases w:val="After:  2 pt"/>
    <w:basedOn w:val="Normal"/>
    <w:uiPriority w:val="99"/>
    <w:rsid w:val="00AC61E8"/>
    <w:pPr>
      <w:spacing w:before="60" w:after="60"/>
      <w:jc w:val="both"/>
    </w:pPr>
    <w:rPr>
      <w:rFonts w:ascii="Arial" w:hAnsi="Arial" w:cs="Arial"/>
    </w:rPr>
  </w:style>
  <w:style w:type="character" w:customStyle="1" w:styleId="il">
    <w:name w:val="il"/>
    <w:basedOn w:val="DefaultParagraphFont"/>
    <w:uiPriority w:val="99"/>
    <w:rsid w:val="00AC61E8"/>
    <w:rPr>
      <w:rFonts w:cs="Times New Roman"/>
    </w:rPr>
  </w:style>
  <w:style w:type="paragraph" w:styleId="DocumentMap">
    <w:name w:val="Document Map"/>
    <w:basedOn w:val="Normal"/>
    <w:link w:val="DocumentMapChar"/>
    <w:uiPriority w:val="99"/>
    <w:rsid w:val="001A3C98"/>
    <w:rPr>
      <w:rFonts w:ascii="Tahoma" w:hAnsi="Tahoma"/>
      <w:sz w:val="16"/>
      <w:szCs w:val="16"/>
    </w:rPr>
  </w:style>
  <w:style w:type="character" w:customStyle="1" w:styleId="DocumentMapChar">
    <w:name w:val="Document Map Char"/>
    <w:basedOn w:val="DefaultParagraphFont"/>
    <w:link w:val="DocumentMap"/>
    <w:uiPriority w:val="99"/>
    <w:locked/>
    <w:rsid w:val="001A3C98"/>
    <w:rPr>
      <w:rFonts w:ascii="Tahoma" w:hAnsi="Tahoma" w:cs="Times New Roman"/>
      <w:sz w:val="16"/>
    </w:rPr>
  </w:style>
  <w:style w:type="paragraph" w:styleId="ListParagraph">
    <w:name w:val="List Paragraph"/>
    <w:basedOn w:val="Normal"/>
    <w:uiPriority w:val="99"/>
    <w:qFormat/>
    <w:rsid w:val="0057488F"/>
    <w:pPr>
      <w:ind w:left="720"/>
    </w:pPr>
    <w:rPr>
      <w:sz w:val="24"/>
      <w:szCs w:val="24"/>
    </w:rPr>
  </w:style>
  <w:style w:type="character" w:styleId="Strong">
    <w:name w:val="Strong"/>
    <w:basedOn w:val="DefaultParagraphFont"/>
    <w:uiPriority w:val="22"/>
    <w:qFormat/>
    <w:locked/>
    <w:rsid w:val="00B13E29"/>
    <w:rPr>
      <w:b/>
      <w:bCs/>
    </w:rPr>
  </w:style>
  <w:style w:type="paragraph" w:styleId="Revision">
    <w:name w:val="Revision"/>
    <w:hidden/>
    <w:uiPriority w:val="99"/>
    <w:semiHidden/>
    <w:rsid w:val="00CC3E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Hyperlink" w:locked="1" w:uiPriority="0"/>
    <w:lsdException w:name="Strong" w:locked="1" w:semiHidden="0" w:uiPriority="22" w:unhideWhenUsed="0" w:qFormat="1"/>
    <w:lsdException w:name="Emphasis" w:locked="1" w:semiHidden="0" w:uiPriority="0" w:unhideWhenUsed="0" w:qFormat="1"/>
    <w:lsdException w:name="Normal (Web)" w:locked="1"/>
    <w:lsdException w:name="annotation subjec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8E2"/>
    <w:rPr>
      <w:sz w:val="20"/>
      <w:szCs w:val="20"/>
    </w:rPr>
  </w:style>
  <w:style w:type="paragraph" w:styleId="Heading1">
    <w:name w:val="heading 1"/>
    <w:basedOn w:val="Normal"/>
    <w:next w:val="Normal"/>
    <w:link w:val="Heading1Char"/>
    <w:uiPriority w:val="99"/>
    <w:qFormat/>
    <w:rsid w:val="004048E2"/>
    <w:pPr>
      <w:keepNext/>
      <w:outlineLvl w:val="0"/>
    </w:pPr>
    <w:rPr>
      <w:sz w:val="24"/>
    </w:rPr>
  </w:style>
  <w:style w:type="paragraph" w:styleId="Heading2">
    <w:name w:val="heading 2"/>
    <w:basedOn w:val="Normal"/>
    <w:next w:val="Normal"/>
    <w:link w:val="Heading2Char"/>
    <w:uiPriority w:val="99"/>
    <w:qFormat/>
    <w:rsid w:val="004048E2"/>
    <w:pPr>
      <w:keepNext/>
      <w:jc w:val="right"/>
      <w:outlineLvl w:val="1"/>
    </w:pPr>
    <w:rPr>
      <w:sz w:val="24"/>
    </w:rPr>
  </w:style>
  <w:style w:type="paragraph" w:styleId="Heading3">
    <w:name w:val="heading 3"/>
    <w:basedOn w:val="Normal"/>
    <w:next w:val="Normal"/>
    <w:link w:val="Heading3Char"/>
    <w:uiPriority w:val="99"/>
    <w:qFormat/>
    <w:rsid w:val="004048E2"/>
    <w:pPr>
      <w:keepNext/>
      <w:outlineLvl w:val="2"/>
    </w:pPr>
    <w:rPr>
      <w:b/>
      <w:sz w:val="22"/>
    </w:rPr>
  </w:style>
  <w:style w:type="paragraph" w:styleId="Heading4">
    <w:name w:val="heading 4"/>
    <w:basedOn w:val="Normal"/>
    <w:next w:val="Normal"/>
    <w:link w:val="Heading4Char"/>
    <w:uiPriority w:val="99"/>
    <w:qFormat/>
    <w:rsid w:val="004048E2"/>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1E8"/>
    <w:rPr>
      <w:rFonts w:cs="Times New Roman"/>
      <w:sz w:val="24"/>
    </w:rPr>
  </w:style>
  <w:style w:type="character" w:customStyle="1" w:styleId="Heading2Char">
    <w:name w:val="Heading 2 Char"/>
    <w:basedOn w:val="DefaultParagraphFont"/>
    <w:link w:val="Heading2"/>
    <w:uiPriority w:val="99"/>
    <w:locked/>
    <w:rsid w:val="00AC61E8"/>
    <w:rPr>
      <w:rFonts w:cs="Times New Roman"/>
      <w:sz w:val="24"/>
    </w:rPr>
  </w:style>
  <w:style w:type="character" w:customStyle="1" w:styleId="Heading3Char">
    <w:name w:val="Heading 3 Char"/>
    <w:basedOn w:val="DefaultParagraphFont"/>
    <w:link w:val="Heading3"/>
    <w:uiPriority w:val="99"/>
    <w:locked/>
    <w:rsid w:val="00AC61E8"/>
    <w:rPr>
      <w:rFonts w:cs="Times New Roman"/>
      <w:b/>
      <w:sz w:val="22"/>
    </w:rPr>
  </w:style>
  <w:style w:type="character" w:customStyle="1" w:styleId="Heading4Char">
    <w:name w:val="Heading 4 Char"/>
    <w:basedOn w:val="DefaultParagraphFont"/>
    <w:link w:val="Heading4"/>
    <w:uiPriority w:val="99"/>
    <w:locked/>
    <w:rsid w:val="00AC61E8"/>
    <w:rPr>
      <w:rFonts w:cs="Times New Roman"/>
      <w:b/>
    </w:rPr>
  </w:style>
  <w:style w:type="paragraph" w:styleId="BodyText">
    <w:name w:val="Body Text"/>
    <w:basedOn w:val="Normal"/>
    <w:link w:val="BodyTextChar"/>
    <w:uiPriority w:val="99"/>
    <w:rsid w:val="004048E2"/>
    <w:rPr>
      <w:sz w:val="22"/>
    </w:rPr>
  </w:style>
  <w:style w:type="character" w:customStyle="1" w:styleId="BodyTextChar">
    <w:name w:val="Body Text Char"/>
    <w:basedOn w:val="DefaultParagraphFont"/>
    <w:link w:val="BodyText"/>
    <w:uiPriority w:val="99"/>
    <w:locked/>
    <w:rsid w:val="00AC61E8"/>
    <w:rPr>
      <w:rFonts w:cs="Times New Roman"/>
      <w:sz w:val="22"/>
    </w:rPr>
  </w:style>
  <w:style w:type="paragraph" w:styleId="BodyText2">
    <w:name w:val="Body Text 2"/>
    <w:basedOn w:val="Normal"/>
    <w:link w:val="BodyText2Char"/>
    <w:uiPriority w:val="99"/>
    <w:rsid w:val="004048E2"/>
    <w:rPr>
      <w:rFonts w:ascii="Arial" w:hAnsi="Arial"/>
      <w:sz w:val="18"/>
    </w:rPr>
  </w:style>
  <w:style w:type="character" w:customStyle="1" w:styleId="BodyText2Char">
    <w:name w:val="Body Text 2 Char"/>
    <w:basedOn w:val="DefaultParagraphFont"/>
    <w:link w:val="BodyText2"/>
    <w:uiPriority w:val="99"/>
    <w:locked/>
    <w:rsid w:val="00AC61E8"/>
    <w:rPr>
      <w:rFonts w:ascii="Arial" w:hAnsi="Arial" w:cs="Times New Roman"/>
      <w:sz w:val="18"/>
    </w:rPr>
  </w:style>
  <w:style w:type="paragraph" w:styleId="BalloonText">
    <w:name w:val="Balloon Text"/>
    <w:basedOn w:val="Normal"/>
    <w:link w:val="BalloonTextChar"/>
    <w:uiPriority w:val="99"/>
    <w:semiHidden/>
    <w:rsid w:val="004048E2"/>
    <w:rPr>
      <w:rFonts w:ascii="Tahoma" w:hAnsi="Tahoma"/>
      <w:sz w:val="16"/>
      <w:szCs w:val="16"/>
    </w:rPr>
  </w:style>
  <w:style w:type="character" w:customStyle="1" w:styleId="BalloonTextChar">
    <w:name w:val="Balloon Text Char"/>
    <w:basedOn w:val="DefaultParagraphFont"/>
    <w:link w:val="BalloonText"/>
    <w:uiPriority w:val="99"/>
    <w:semiHidden/>
    <w:locked/>
    <w:rsid w:val="00AC61E8"/>
    <w:rPr>
      <w:rFonts w:ascii="Tahoma" w:hAnsi="Tahoma" w:cs="Times New Roman"/>
      <w:sz w:val="16"/>
    </w:rPr>
  </w:style>
  <w:style w:type="paragraph" w:customStyle="1" w:styleId="Indent1">
    <w:name w:val="Indent 1"/>
    <w:basedOn w:val="Normal"/>
    <w:uiPriority w:val="99"/>
    <w:rsid w:val="004048E2"/>
    <w:rPr>
      <w:sz w:val="24"/>
    </w:rPr>
  </w:style>
  <w:style w:type="character" w:styleId="Hyperlink">
    <w:name w:val="Hyperlink"/>
    <w:basedOn w:val="DefaultParagraphFont"/>
    <w:uiPriority w:val="99"/>
    <w:rsid w:val="004048E2"/>
    <w:rPr>
      <w:rFonts w:cs="Times New Roman"/>
      <w:color w:val="0000FF"/>
      <w:u w:val="single"/>
    </w:rPr>
  </w:style>
  <w:style w:type="character" w:styleId="FollowedHyperlink">
    <w:name w:val="FollowedHyperlink"/>
    <w:basedOn w:val="DefaultParagraphFont"/>
    <w:uiPriority w:val="99"/>
    <w:rsid w:val="004048E2"/>
    <w:rPr>
      <w:rFonts w:cs="Times New Roman"/>
      <w:color w:val="800080"/>
      <w:u w:val="single"/>
    </w:rPr>
  </w:style>
  <w:style w:type="paragraph" w:styleId="BodyText3">
    <w:name w:val="Body Text 3"/>
    <w:basedOn w:val="Normal"/>
    <w:link w:val="BodyText3Char"/>
    <w:uiPriority w:val="99"/>
    <w:rsid w:val="004048E2"/>
    <w:pPr>
      <w:jc w:val="both"/>
    </w:pPr>
    <w:rPr>
      <w:rFonts w:ascii="Arial Narrow" w:hAnsi="Arial Narrow" w:cs="Arial"/>
      <w:sz w:val="22"/>
      <w:szCs w:val="16"/>
      <w:lang w:val="en-US" w:eastAsia="en-US"/>
    </w:rPr>
  </w:style>
  <w:style w:type="character" w:customStyle="1" w:styleId="BodyText3Char">
    <w:name w:val="Body Text 3 Char"/>
    <w:basedOn w:val="DefaultParagraphFont"/>
    <w:link w:val="BodyText3"/>
    <w:uiPriority w:val="99"/>
    <w:semiHidden/>
    <w:locked/>
    <w:rsid w:val="00F910F4"/>
    <w:rPr>
      <w:rFonts w:cs="Times New Roman"/>
      <w:sz w:val="16"/>
      <w:szCs w:val="16"/>
    </w:rPr>
  </w:style>
  <w:style w:type="paragraph" w:styleId="Header">
    <w:name w:val="header"/>
    <w:basedOn w:val="Normal"/>
    <w:link w:val="HeaderChar"/>
    <w:uiPriority w:val="99"/>
    <w:rsid w:val="004048E2"/>
    <w:pPr>
      <w:tabs>
        <w:tab w:val="center" w:pos="4153"/>
        <w:tab w:val="right" w:pos="8306"/>
      </w:tabs>
    </w:pPr>
  </w:style>
  <w:style w:type="character" w:customStyle="1" w:styleId="HeaderChar">
    <w:name w:val="Header Char"/>
    <w:basedOn w:val="DefaultParagraphFont"/>
    <w:link w:val="Header"/>
    <w:uiPriority w:val="99"/>
    <w:locked/>
    <w:rsid w:val="00AC61E8"/>
    <w:rPr>
      <w:rFonts w:cs="Times New Roman"/>
    </w:rPr>
  </w:style>
  <w:style w:type="paragraph" w:styleId="Footer">
    <w:name w:val="footer"/>
    <w:basedOn w:val="Normal"/>
    <w:link w:val="FooterChar"/>
    <w:uiPriority w:val="99"/>
    <w:rsid w:val="004048E2"/>
    <w:pPr>
      <w:tabs>
        <w:tab w:val="center" w:pos="4153"/>
        <w:tab w:val="right" w:pos="8306"/>
      </w:tabs>
    </w:pPr>
  </w:style>
  <w:style w:type="character" w:customStyle="1" w:styleId="FooterChar">
    <w:name w:val="Footer Char"/>
    <w:basedOn w:val="DefaultParagraphFont"/>
    <w:link w:val="Footer"/>
    <w:uiPriority w:val="99"/>
    <w:locked/>
    <w:rsid w:val="00AC61E8"/>
    <w:rPr>
      <w:rFonts w:cs="Times New Roman"/>
    </w:rPr>
  </w:style>
  <w:style w:type="character" w:styleId="PageNumber">
    <w:name w:val="page number"/>
    <w:basedOn w:val="DefaultParagraphFont"/>
    <w:uiPriority w:val="99"/>
    <w:rsid w:val="004048E2"/>
    <w:rPr>
      <w:rFonts w:cs="Times New Roman"/>
    </w:rPr>
  </w:style>
  <w:style w:type="paragraph" w:styleId="NormalWeb">
    <w:name w:val="Normal (Web)"/>
    <w:basedOn w:val="Normal"/>
    <w:uiPriority w:val="99"/>
    <w:rsid w:val="004048E2"/>
    <w:pPr>
      <w:spacing w:before="100" w:beforeAutospacing="1" w:after="100" w:afterAutospacing="1"/>
    </w:pPr>
    <w:rPr>
      <w:sz w:val="24"/>
      <w:szCs w:val="24"/>
    </w:rPr>
  </w:style>
  <w:style w:type="character" w:customStyle="1" w:styleId="storytext">
    <w:name w:val="storytext"/>
    <w:basedOn w:val="DefaultParagraphFont"/>
    <w:uiPriority w:val="99"/>
    <w:rsid w:val="004048E2"/>
    <w:rPr>
      <w:rFonts w:cs="Times New Roman"/>
    </w:rPr>
  </w:style>
  <w:style w:type="character" w:styleId="CommentReference">
    <w:name w:val="annotation reference"/>
    <w:basedOn w:val="DefaultParagraphFont"/>
    <w:uiPriority w:val="99"/>
    <w:semiHidden/>
    <w:rsid w:val="004048E2"/>
    <w:rPr>
      <w:rFonts w:cs="Times New Roman"/>
      <w:sz w:val="16"/>
    </w:rPr>
  </w:style>
  <w:style w:type="paragraph" w:styleId="CommentText">
    <w:name w:val="annotation text"/>
    <w:basedOn w:val="Normal"/>
    <w:link w:val="CommentTextChar"/>
    <w:uiPriority w:val="99"/>
    <w:semiHidden/>
    <w:rsid w:val="004048E2"/>
  </w:style>
  <w:style w:type="character" w:customStyle="1" w:styleId="CommentTextChar">
    <w:name w:val="Comment Text Char"/>
    <w:basedOn w:val="DefaultParagraphFont"/>
    <w:link w:val="CommentText"/>
    <w:uiPriority w:val="99"/>
    <w:semiHidden/>
    <w:locked/>
    <w:rsid w:val="00AC61E8"/>
    <w:rPr>
      <w:rFonts w:cs="Times New Roman"/>
    </w:rPr>
  </w:style>
  <w:style w:type="paragraph" w:styleId="CommentSubject">
    <w:name w:val="annotation subject"/>
    <w:basedOn w:val="CommentText"/>
    <w:next w:val="CommentText"/>
    <w:link w:val="CommentSubjectChar"/>
    <w:uiPriority w:val="99"/>
    <w:semiHidden/>
    <w:rsid w:val="004048E2"/>
    <w:rPr>
      <w:b/>
      <w:bCs/>
    </w:rPr>
  </w:style>
  <w:style w:type="character" w:customStyle="1" w:styleId="CommentSubjectChar">
    <w:name w:val="Comment Subject Char"/>
    <w:basedOn w:val="CommentTextChar"/>
    <w:link w:val="CommentSubject"/>
    <w:uiPriority w:val="99"/>
    <w:semiHidden/>
    <w:locked/>
    <w:rsid w:val="00AC61E8"/>
    <w:rPr>
      <w:rFonts w:cs="Times New Roman"/>
      <w:b/>
    </w:rPr>
  </w:style>
  <w:style w:type="table" w:styleId="TableGrid">
    <w:name w:val="Table Grid"/>
    <w:basedOn w:val="TableNormal"/>
    <w:uiPriority w:val="99"/>
    <w:rsid w:val="00873F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63D85"/>
  </w:style>
  <w:style w:type="character" w:customStyle="1" w:styleId="FootnoteTextChar">
    <w:name w:val="Footnote Text Char"/>
    <w:basedOn w:val="DefaultParagraphFont"/>
    <w:link w:val="FootnoteText"/>
    <w:uiPriority w:val="99"/>
    <w:semiHidden/>
    <w:locked/>
    <w:rsid w:val="00F910F4"/>
    <w:rPr>
      <w:rFonts w:cs="Times New Roman"/>
      <w:sz w:val="20"/>
      <w:szCs w:val="20"/>
    </w:rPr>
  </w:style>
  <w:style w:type="character" w:styleId="FootnoteReference">
    <w:name w:val="footnote reference"/>
    <w:basedOn w:val="DefaultParagraphFont"/>
    <w:uiPriority w:val="99"/>
    <w:semiHidden/>
    <w:rsid w:val="00A63D85"/>
    <w:rPr>
      <w:rFonts w:cs="Times New Roman"/>
      <w:vertAlign w:val="superscript"/>
    </w:rPr>
  </w:style>
  <w:style w:type="character" w:customStyle="1" w:styleId="apple-style-span">
    <w:name w:val="apple-style-span"/>
    <w:basedOn w:val="DefaultParagraphFont"/>
    <w:uiPriority w:val="99"/>
    <w:rsid w:val="00EE0297"/>
    <w:rPr>
      <w:rFonts w:cs="Times New Roman"/>
    </w:rPr>
  </w:style>
  <w:style w:type="character" w:customStyle="1" w:styleId="apple-converted-space">
    <w:name w:val="apple-converted-space"/>
    <w:basedOn w:val="DefaultParagraphFont"/>
    <w:rsid w:val="00B219FD"/>
    <w:rPr>
      <w:rFonts w:cs="Times New Roman"/>
    </w:rPr>
  </w:style>
  <w:style w:type="paragraph" w:customStyle="1" w:styleId="ColorfulList-Accent11">
    <w:name w:val="Colorful List - Accent 11"/>
    <w:basedOn w:val="Normal"/>
    <w:uiPriority w:val="99"/>
    <w:rsid w:val="00AC61E8"/>
    <w:pPr>
      <w:spacing w:before="120" w:after="200"/>
      <w:ind w:left="720" w:hanging="357"/>
      <w:contextualSpacing/>
    </w:pPr>
    <w:rPr>
      <w:rFonts w:ascii="Calibri" w:hAnsi="Calibri"/>
      <w:sz w:val="22"/>
      <w:szCs w:val="22"/>
      <w:lang w:eastAsia="en-US"/>
    </w:rPr>
  </w:style>
  <w:style w:type="paragraph" w:customStyle="1" w:styleId="NormalArial">
    <w:name w:val="Normal + Arial"/>
    <w:aliases w:val="After:  2 pt"/>
    <w:basedOn w:val="Normal"/>
    <w:uiPriority w:val="99"/>
    <w:rsid w:val="00AC61E8"/>
    <w:pPr>
      <w:spacing w:before="60" w:after="60"/>
      <w:jc w:val="both"/>
    </w:pPr>
    <w:rPr>
      <w:rFonts w:ascii="Arial" w:hAnsi="Arial" w:cs="Arial"/>
    </w:rPr>
  </w:style>
  <w:style w:type="character" w:customStyle="1" w:styleId="il">
    <w:name w:val="il"/>
    <w:basedOn w:val="DefaultParagraphFont"/>
    <w:uiPriority w:val="99"/>
    <w:rsid w:val="00AC61E8"/>
    <w:rPr>
      <w:rFonts w:cs="Times New Roman"/>
    </w:rPr>
  </w:style>
  <w:style w:type="paragraph" w:styleId="DocumentMap">
    <w:name w:val="Document Map"/>
    <w:basedOn w:val="Normal"/>
    <w:link w:val="DocumentMapChar"/>
    <w:uiPriority w:val="99"/>
    <w:rsid w:val="001A3C98"/>
    <w:rPr>
      <w:rFonts w:ascii="Tahoma" w:hAnsi="Tahoma"/>
      <w:sz w:val="16"/>
      <w:szCs w:val="16"/>
    </w:rPr>
  </w:style>
  <w:style w:type="character" w:customStyle="1" w:styleId="DocumentMapChar">
    <w:name w:val="Document Map Char"/>
    <w:basedOn w:val="DefaultParagraphFont"/>
    <w:link w:val="DocumentMap"/>
    <w:uiPriority w:val="99"/>
    <w:locked/>
    <w:rsid w:val="001A3C98"/>
    <w:rPr>
      <w:rFonts w:ascii="Tahoma" w:hAnsi="Tahoma" w:cs="Times New Roman"/>
      <w:sz w:val="16"/>
    </w:rPr>
  </w:style>
  <w:style w:type="paragraph" w:styleId="ListParagraph">
    <w:name w:val="List Paragraph"/>
    <w:basedOn w:val="Normal"/>
    <w:uiPriority w:val="99"/>
    <w:qFormat/>
    <w:rsid w:val="0057488F"/>
    <w:pPr>
      <w:ind w:left="720"/>
    </w:pPr>
    <w:rPr>
      <w:sz w:val="24"/>
      <w:szCs w:val="24"/>
    </w:rPr>
  </w:style>
  <w:style w:type="character" w:styleId="Strong">
    <w:name w:val="Strong"/>
    <w:basedOn w:val="DefaultParagraphFont"/>
    <w:uiPriority w:val="22"/>
    <w:qFormat/>
    <w:locked/>
    <w:rsid w:val="00B13E29"/>
    <w:rPr>
      <w:b/>
      <w:bCs/>
    </w:rPr>
  </w:style>
  <w:style w:type="paragraph" w:styleId="Revision">
    <w:name w:val="Revision"/>
    <w:hidden/>
    <w:uiPriority w:val="99"/>
    <w:semiHidden/>
    <w:rsid w:val="00CC3E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779">
      <w:bodyDiv w:val="1"/>
      <w:marLeft w:val="0"/>
      <w:marRight w:val="0"/>
      <w:marTop w:val="0"/>
      <w:marBottom w:val="0"/>
      <w:divBdr>
        <w:top w:val="none" w:sz="0" w:space="0" w:color="auto"/>
        <w:left w:val="none" w:sz="0" w:space="0" w:color="auto"/>
        <w:bottom w:val="none" w:sz="0" w:space="0" w:color="auto"/>
        <w:right w:val="none" w:sz="0" w:space="0" w:color="auto"/>
      </w:divBdr>
    </w:div>
    <w:div w:id="312297394">
      <w:bodyDiv w:val="1"/>
      <w:marLeft w:val="0"/>
      <w:marRight w:val="0"/>
      <w:marTop w:val="0"/>
      <w:marBottom w:val="0"/>
      <w:divBdr>
        <w:top w:val="none" w:sz="0" w:space="0" w:color="auto"/>
        <w:left w:val="none" w:sz="0" w:space="0" w:color="auto"/>
        <w:bottom w:val="none" w:sz="0" w:space="0" w:color="auto"/>
        <w:right w:val="none" w:sz="0" w:space="0" w:color="auto"/>
      </w:divBdr>
    </w:div>
    <w:div w:id="932864086">
      <w:bodyDiv w:val="1"/>
      <w:marLeft w:val="0"/>
      <w:marRight w:val="0"/>
      <w:marTop w:val="0"/>
      <w:marBottom w:val="0"/>
      <w:divBdr>
        <w:top w:val="none" w:sz="0" w:space="0" w:color="auto"/>
        <w:left w:val="none" w:sz="0" w:space="0" w:color="auto"/>
        <w:bottom w:val="none" w:sz="0" w:space="0" w:color="auto"/>
        <w:right w:val="none" w:sz="0" w:space="0" w:color="auto"/>
      </w:divBdr>
    </w:div>
    <w:div w:id="1098672172">
      <w:bodyDiv w:val="1"/>
      <w:marLeft w:val="0"/>
      <w:marRight w:val="0"/>
      <w:marTop w:val="0"/>
      <w:marBottom w:val="0"/>
      <w:divBdr>
        <w:top w:val="none" w:sz="0" w:space="0" w:color="auto"/>
        <w:left w:val="none" w:sz="0" w:space="0" w:color="auto"/>
        <w:bottom w:val="none" w:sz="0" w:space="0" w:color="auto"/>
        <w:right w:val="none" w:sz="0" w:space="0" w:color="auto"/>
      </w:divBdr>
    </w:div>
    <w:div w:id="1669286628">
      <w:bodyDiv w:val="1"/>
      <w:marLeft w:val="0"/>
      <w:marRight w:val="0"/>
      <w:marTop w:val="0"/>
      <w:marBottom w:val="0"/>
      <w:divBdr>
        <w:top w:val="none" w:sz="0" w:space="0" w:color="auto"/>
        <w:left w:val="none" w:sz="0" w:space="0" w:color="auto"/>
        <w:bottom w:val="none" w:sz="0" w:space="0" w:color="auto"/>
        <w:right w:val="none" w:sz="0" w:space="0" w:color="auto"/>
      </w:divBdr>
      <w:divsChild>
        <w:div w:id="91012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19111">
              <w:marLeft w:val="0"/>
              <w:marRight w:val="0"/>
              <w:marTop w:val="0"/>
              <w:marBottom w:val="0"/>
              <w:divBdr>
                <w:top w:val="none" w:sz="0" w:space="0" w:color="auto"/>
                <w:left w:val="none" w:sz="0" w:space="0" w:color="auto"/>
                <w:bottom w:val="none" w:sz="0" w:space="0" w:color="auto"/>
                <w:right w:val="none" w:sz="0" w:space="0" w:color="auto"/>
              </w:divBdr>
              <w:divsChild>
                <w:div w:id="1899902128">
                  <w:marLeft w:val="0"/>
                  <w:marRight w:val="0"/>
                  <w:marTop w:val="0"/>
                  <w:marBottom w:val="0"/>
                  <w:divBdr>
                    <w:top w:val="none" w:sz="0" w:space="0" w:color="auto"/>
                    <w:left w:val="none" w:sz="0" w:space="0" w:color="auto"/>
                    <w:bottom w:val="none" w:sz="0" w:space="0" w:color="auto"/>
                    <w:right w:val="none" w:sz="0" w:space="0" w:color="auto"/>
                  </w:divBdr>
                  <w:divsChild>
                    <w:div w:id="1846092845">
                      <w:marLeft w:val="0"/>
                      <w:marRight w:val="0"/>
                      <w:marTop w:val="0"/>
                      <w:marBottom w:val="0"/>
                      <w:divBdr>
                        <w:top w:val="none" w:sz="0" w:space="0" w:color="auto"/>
                        <w:left w:val="none" w:sz="0" w:space="0" w:color="auto"/>
                        <w:bottom w:val="none" w:sz="0" w:space="0" w:color="auto"/>
                        <w:right w:val="none" w:sz="0" w:space="0" w:color="auto"/>
                      </w:divBdr>
                      <w:divsChild>
                        <w:div w:id="1841657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2934794">
                              <w:marLeft w:val="0"/>
                              <w:marRight w:val="0"/>
                              <w:marTop w:val="0"/>
                              <w:marBottom w:val="0"/>
                              <w:divBdr>
                                <w:top w:val="none" w:sz="0" w:space="0" w:color="auto"/>
                                <w:left w:val="none" w:sz="0" w:space="0" w:color="auto"/>
                                <w:bottom w:val="none" w:sz="0" w:space="0" w:color="auto"/>
                                <w:right w:val="none" w:sz="0" w:space="0" w:color="auto"/>
                              </w:divBdr>
                              <w:divsChild>
                                <w:div w:id="2199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32598">
      <w:marLeft w:val="0"/>
      <w:marRight w:val="0"/>
      <w:marTop w:val="0"/>
      <w:marBottom w:val="0"/>
      <w:divBdr>
        <w:top w:val="none" w:sz="0" w:space="0" w:color="auto"/>
        <w:left w:val="none" w:sz="0" w:space="0" w:color="auto"/>
        <w:bottom w:val="none" w:sz="0" w:space="0" w:color="auto"/>
        <w:right w:val="none" w:sz="0" w:space="0" w:color="auto"/>
      </w:divBdr>
    </w:div>
    <w:div w:id="1922132599">
      <w:marLeft w:val="0"/>
      <w:marRight w:val="0"/>
      <w:marTop w:val="0"/>
      <w:marBottom w:val="0"/>
      <w:divBdr>
        <w:top w:val="none" w:sz="0" w:space="0" w:color="auto"/>
        <w:left w:val="none" w:sz="0" w:space="0" w:color="auto"/>
        <w:bottom w:val="none" w:sz="0" w:space="0" w:color="auto"/>
        <w:right w:val="none" w:sz="0" w:space="0" w:color="auto"/>
      </w:divBdr>
      <w:divsChild>
        <w:div w:id="1922132597">
          <w:marLeft w:val="0"/>
          <w:marRight w:val="0"/>
          <w:marTop w:val="0"/>
          <w:marBottom w:val="0"/>
          <w:divBdr>
            <w:top w:val="none" w:sz="0" w:space="0" w:color="auto"/>
            <w:left w:val="none" w:sz="0" w:space="0" w:color="auto"/>
            <w:bottom w:val="none" w:sz="0" w:space="0" w:color="auto"/>
            <w:right w:val="none" w:sz="0" w:space="0" w:color="auto"/>
          </w:divBdr>
          <w:divsChild>
            <w:div w:id="1922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2603">
      <w:marLeft w:val="0"/>
      <w:marRight w:val="0"/>
      <w:marTop w:val="0"/>
      <w:marBottom w:val="0"/>
      <w:divBdr>
        <w:top w:val="none" w:sz="0" w:space="0" w:color="auto"/>
        <w:left w:val="none" w:sz="0" w:space="0" w:color="auto"/>
        <w:bottom w:val="none" w:sz="0" w:space="0" w:color="auto"/>
        <w:right w:val="none" w:sz="0" w:space="0" w:color="auto"/>
      </w:divBdr>
    </w:div>
    <w:div w:id="1922132604">
      <w:marLeft w:val="0"/>
      <w:marRight w:val="0"/>
      <w:marTop w:val="0"/>
      <w:marBottom w:val="0"/>
      <w:divBdr>
        <w:top w:val="none" w:sz="0" w:space="0" w:color="auto"/>
        <w:left w:val="none" w:sz="0" w:space="0" w:color="auto"/>
        <w:bottom w:val="none" w:sz="0" w:space="0" w:color="auto"/>
        <w:right w:val="none" w:sz="0" w:space="0" w:color="auto"/>
      </w:divBdr>
    </w:div>
    <w:div w:id="1922132605">
      <w:marLeft w:val="0"/>
      <w:marRight w:val="0"/>
      <w:marTop w:val="0"/>
      <w:marBottom w:val="0"/>
      <w:divBdr>
        <w:top w:val="none" w:sz="0" w:space="0" w:color="auto"/>
        <w:left w:val="none" w:sz="0" w:space="0" w:color="auto"/>
        <w:bottom w:val="none" w:sz="0" w:space="0" w:color="auto"/>
        <w:right w:val="none" w:sz="0" w:space="0" w:color="auto"/>
      </w:divBdr>
    </w:div>
    <w:div w:id="1922132606">
      <w:marLeft w:val="0"/>
      <w:marRight w:val="0"/>
      <w:marTop w:val="0"/>
      <w:marBottom w:val="0"/>
      <w:divBdr>
        <w:top w:val="none" w:sz="0" w:space="0" w:color="auto"/>
        <w:left w:val="none" w:sz="0" w:space="0" w:color="auto"/>
        <w:bottom w:val="none" w:sz="0" w:space="0" w:color="auto"/>
        <w:right w:val="none" w:sz="0" w:space="0" w:color="auto"/>
      </w:divBdr>
    </w:div>
    <w:div w:id="1922132607">
      <w:marLeft w:val="0"/>
      <w:marRight w:val="0"/>
      <w:marTop w:val="0"/>
      <w:marBottom w:val="0"/>
      <w:divBdr>
        <w:top w:val="none" w:sz="0" w:space="0" w:color="auto"/>
        <w:left w:val="none" w:sz="0" w:space="0" w:color="auto"/>
        <w:bottom w:val="none" w:sz="0" w:space="0" w:color="auto"/>
        <w:right w:val="none" w:sz="0" w:space="0" w:color="auto"/>
      </w:divBdr>
    </w:div>
    <w:div w:id="1922132608">
      <w:marLeft w:val="0"/>
      <w:marRight w:val="0"/>
      <w:marTop w:val="0"/>
      <w:marBottom w:val="0"/>
      <w:divBdr>
        <w:top w:val="none" w:sz="0" w:space="0" w:color="auto"/>
        <w:left w:val="none" w:sz="0" w:space="0" w:color="auto"/>
        <w:bottom w:val="none" w:sz="0" w:space="0" w:color="auto"/>
        <w:right w:val="none" w:sz="0" w:space="0" w:color="auto"/>
      </w:divBdr>
      <w:divsChild>
        <w:div w:id="1922132600">
          <w:marLeft w:val="0"/>
          <w:marRight w:val="0"/>
          <w:marTop w:val="0"/>
          <w:marBottom w:val="0"/>
          <w:divBdr>
            <w:top w:val="none" w:sz="0" w:space="0" w:color="auto"/>
            <w:left w:val="none" w:sz="0" w:space="0" w:color="auto"/>
            <w:bottom w:val="none" w:sz="0" w:space="0" w:color="auto"/>
            <w:right w:val="none" w:sz="0" w:space="0" w:color="auto"/>
          </w:divBdr>
          <w:divsChild>
            <w:div w:id="1922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014">
      <w:bodyDiv w:val="1"/>
      <w:marLeft w:val="0"/>
      <w:marRight w:val="0"/>
      <w:marTop w:val="0"/>
      <w:marBottom w:val="0"/>
      <w:divBdr>
        <w:top w:val="none" w:sz="0" w:space="0" w:color="auto"/>
        <w:left w:val="none" w:sz="0" w:space="0" w:color="auto"/>
        <w:bottom w:val="none" w:sz="0" w:space="0" w:color="auto"/>
        <w:right w:val="none" w:sz="0" w:space="0" w:color="auto"/>
      </w:divBdr>
    </w:div>
    <w:div w:id="21469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g.com/crowneplaza/hotels/gb/en/reservation" TargetMode="External"/><Relationship Id="rId18" Type="http://schemas.openxmlformats.org/officeDocument/2006/relationships/hyperlink" Target="http://www.ihg.com/staybridge/hotels/gb/en/reservation" TargetMode="External"/><Relationship Id="rId26" Type="http://schemas.openxmlformats.org/officeDocument/2006/relationships/hyperlink" Target="http://www.facebook.com/ihg" TargetMode="External"/><Relationship Id="rId3" Type="http://schemas.openxmlformats.org/officeDocument/2006/relationships/styles" Target="styles.xml"/><Relationship Id="rId21" Type="http://schemas.openxmlformats.org/officeDocument/2006/relationships/hyperlink" Target="http://www.ihgplc.com/index.asp" TargetMode="External"/><Relationship Id="rId7" Type="http://schemas.openxmlformats.org/officeDocument/2006/relationships/footnotes" Target="footnotes.xml"/><Relationship Id="rId12" Type="http://schemas.openxmlformats.org/officeDocument/2006/relationships/hyperlink" Target="http://cn.ihg.com/hualuxe?scmisc=header_vn" TargetMode="External"/><Relationship Id="rId17" Type="http://schemas.openxmlformats.org/officeDocument/2006/relationships/hyperlink" Target="http://www.ihg.com/holidayinnexpress/hotels/gb/en/reservation" TargetMode="External"/><Relationship Id="rId25" Type="http://schemas.openxmlformats.org/officeDocument/2006/relationships/hyperlink" Target="http://www.twitter.com/ihg" TargetMode="External"/><Relationship Id="rId2" Type="http://schemas.openxmlformats.org/officeDocument/2006/relationships/numbering" Target="numbering.xml"/><Relationship Id="rId16" Type="http://schemas.openxmlformats.org/officeDocument/2006/relationships/hyperlink" Target="http://www.ihg.com/holidayinn/hotels/gb/en/reservation" TargetMode="External"/><Relationship Id="rId20" Type="http://schemas.openxmlformats.org/officeDocument/2006/relationships/hyperlink" Target="http://www.ihg.com/rewardsclub/gb/en/hom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mptonhotels.com/" TargetMode="External"/><Relationship Id="rId24" Type="http://schemas.openxmlformats.org/officeDocument/2006/relationships/hyperlink" Target="http://www.ihgplc.com/index.asp?pageid=5" TargetMode="External"/><Relationship Id="rId5" Type="http://schemas.openxmlformats.org/officeDocument/2006/relationships/settings" Target="settings.xml"/><Relationship Id="rId15" Type="http://schemas.openxmlformats.org/officeDocument/2006/relationships/hyperlink" Target="http://www.ihg.com/evenhotels/hotels/us/en/reservation" TargetMode="External"/><Relationship Id="rId23" Type="http://schemas.openxmlformats.org/officeDocument/2006/relationships/hyperlink" Target="http://www.ihg.com/rewardsclub/gb/en/home" TargetMode="External"/><Relationship Id="rId28" Type="http://schemas.openxmlformats.org/officeDocument/2006/relationships/footer" Target="footer1.xml"/><Relationship Id="rId10" Type="http://schemas.openxmlformats.org/officeDocument/2006/relationships/hyperlink" Target="http://www.intercontinental.com/hotels/gb/en/reservation" TargetMode="External"/><Relationship Id="rId19" Type="http://schemas.openxmlformats.org/officeDocument/2006/relationships/hyperlink" Target="http://www.ihg.com/candlewood/hotels/us/en/reservatio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hgplc.com/index.asp" TargetMode="External"/><Relationship Id="rId14" Type="http://schemas.openxmlformats.org/officeDocument/2006/relationships/hyperlink" Target="http://www.ihg.com/hotelindigo/hotels/us/en/reservation" TargetMode="External"/><Relationship Id="rId22" Type="http://schemas.openxmlformats.org/officeDocument/2006/relationships/hyperlink" Target="http://www.ihg.com/hotels/gb/en/reservation" TargetMode="External"/><Relationship Id="rId27" Type="http://schemas.openxmlformats.org/officeDocument/2006/relationships/hyperlink" Target="http://www.youtube.com/ihgpl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2089-D2C3-4582-BF20-3E66FEB2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GROUP PROFIT AND LOSS ACCOUNT</vt:lpstr>
    </vt:vector>
  </TitlesOfParts>
  <Company>IHG</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PROFIT AND LOSS ACCOUNT</dc:title>
  <dc:creator>Christina Neal</dc:creator>
  <cp:lastModifiedBy>Woollard, Matthew (IHG)</cp:lastModifiedBy>
  <cp:revision>3</cp:revision>
  <cp:lastPrinted>2015-05-07T10:00:00Z</cp:lastPrinted>
  <dcterms:created xsi:type="dcterms:W3CDTF">2015-05-07T13:15:00Z</dcterms:created>
  <dcterms:modified xsi:type="dcterms:W3CDTF">2015-05-07T13:17:00Z</dcterms:modified>
</cp:coreProperties>
</file>